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B43C" w14:textId="6C2F42EC" w:rsidR="006A6AA5" w:rsidRDefault="00FE0EC4" w:rsidP="006A6AA5">
      <w:pPr>
        <w:pStyle w:val="Heading1"/>
        <w:spacing w:line="276" w:lineRule="auto"/>
        <w:rPr>
          <w:b/>
          <w:bCs w:val="0"/>
          <w:noProof/>
        </w:rPr>
      </w:pPr>
      <w:bookmarkStart w:id="0" w:name="_Toc59172998"/>
      <w:r w:rsidRPr="006A6AA5">
        <w:rPr>
          <w:b/>
          <w:color w:val="AF1E2C"/>
          <w:sz w:val="26"/>
          <w:szCs w:val="26"/>
        </w:rPr>
        <w:t>“4Cs” Antibiotic Audit: Cephalosporins, Co-amoxiclav, Fluoroquinolones and Clindamycin</w:t>
      </w:r>
      <w:bookmarkStart w:id="1" w:name="_Toc59172999"/>
      <w:bookmarkEnd w:id="0"/>
    </w:p>
    <w:p w14:paraId="72A386D8" w14:textId="2DAADA4E" w:rsidR="00FE0EC4" w:rsidRPr="006A6AA5" w:rsidRDefault="00FE0EC4" w:rsidP="006A6AA5">
      <w:pPr>
        <w:pStyle w:val="Heading2"/>
        <w:rPr>
          <w:color w:val="AF1E2C"/>
        </w:rPr>
      </w:pPr>
      <w:r w:rsidRPr="006A6AA5">
        <w:rPr>
          <w:color w:val="AF1E2C"/>
        </w:rPr>
        <w:t>Audit aims and rationale</w:t>
      </w:r>
      <w:bookmarkEnd w:id="1"/>
    </w:p>
    <w:p w14:paraId="0679112C" w14:textId="03392099" w:rsidR="00FE0EC4" w:rsidRPr="00FE0EC4" w:rsidRDefault="00B56A3B" w:rsidP="00FE0EC4">
      <w:r>
        <w:t>Determine and</w:t>
      </w:r>
      <w:r w:rsidR="00FE0EC4" w:rsidRPr="00FE0EC4">
        <w:t xml:space="preserve"> reflect on:</w:t>
      </w:r>
    </w:p>
    <w:p w14:paraId="6D946C78" w14:textId="24E456C1" w:rsidR="00FE0EC4" w:rsidRPr="00FE0EC4" w:rsidRDefault="00830AD5" w:rsidP="00830AD5">
      <w:pPr>
        <w:pStyle w:val="ListParagraph"/>
        <w:numPr>
          <w:ilvl w:val="0"/>
          <w:numId w:val="40"/>
        </w:numPr>
      </w:pPr>
      <w:r>
        <w:t>W</w:t>
      </w:r>
      <w:r w:rsidR="00FE0EC4" w:rsidRPr="00FE0EC4">
        <w:t xml:space="preserve">hen and </w:t>
      </w:r>
      <w:proofErr w:type="gramStart"/>
      <w:r w:rsidR="00FE0EC4" w:rsidRPr="00FE0EC4">
        <w:t>why</w:t>
      </w:r>
      <w:proofErr w:type="gramEnd"/>
      <w:r w:rsidR="00FE0EC4" w:rsidRPr="00FE0EC4">
        <w:t xml:space="preserve"> you prescribe broad-spectrum antibiotics</w:t>
      </w:r>
      <w:bookmarkStart w:id="2" w:name="_Hlk40181755"/>
      <w:r w:rsidR="00FE0EC4">
        <w:t>:</w:t>
      </w:r>
      <w:r w:rsidR="00FE0EC4" w:rsidRPr="00FE0EC4">
        <w:t xml:space="preserve"> </w:t>
      </w:r>
      <w:bookmarkStart w:id="3" w:name="_Hlk42870824"/>
      <w:r w:rsidR="00FE0EC4" w:rsidRPr="00FE0EC4">
        <w:t>cephalosporins</w:t>
      </w:r>
      <w:r w:rsidR="003351E6">
        <w:t xml:space="preserve"> (e.g</w:t>
      </w:r>
      <w:r w:rsidR="002C0A54">
        <w:t>.</w:t>
      </w:r>
      <w:r w:rsidR="003351E6">
        <w:t xml:space="preserve"> cefalexin)</w:t>
      </w:r>
      <w:r w:rsidR="00FE0EC4" w:rsidRPr="00FE0EC4">
        <w:t>, co-amoxiclav, fluoroquinolones</w:t>
      </w:r>
      <w:r w:rsidR="003351E6">
        <w:t xml:space="preserve"> </w:t>
      </w:r>
      <w:r w:rsidR="003351E6" w:rsidRPr="00AE02B6">
        <w:rPr>
          <w:rFonts w:cs="Arial"/>
        </w:rPr>
        <w:t>(e.g. ciprofloxacin</w:t>
      </w:r>
      <w:r w:rsidR="003351E6">
        <w:rPr>
          <w:rFonts w:cs="Arial"/>
        </w:rPr>
        <w:t>, levofloxacin, moxifloxacin, ofloxacin</w:t>
      </w:r>
      <w:r w:rsidR="003351E6">
        <w:t>)</w:t>
      </w:r>
      <w:r w:rsidR="00FE0EC4" w:rsidRPr="00FE0EC4">
        <w:t xml:space="preserve"> and clindamycin</w:t>
      </w:r>
      <w:bookmarkEnd w:id="2"/>
      <w:r w:rsidR="00FE0EC4" w:rsidRPr="00FE0EC4">
        <w:t xml:space="preserve">. </w:t>
      </w:r>
    </w:p>
    <w:bookmarkEnd w:id="3"/>
    <w:p w14:paraId="72122D3A" w14:textId="20CE1021" w:rsidR="00FE0EC4" w:rsidRPr="00FE0EC4" w:rsidRDefault="00830AD5" w:rsidP="00830AD5">
      <w:pPr>
        <w:pStyle w:val="ListParagraph"/>
        <w:numPr>
          <w:ilvl w:val="0"/>
          <w:numId w:val="40"/>
        </w:numPr>
      </w:pPr>
      <w:r>
        <w:t>W</w:t>
      </w:r>
      <w:r w:rsidR="00B56A3B">
        <w:t>hether</w:t>
      </w:r>
      <w:r w:rsidR="00FE0EC4" w:rsidRPr="00FE0EC4">
        <w:t xml:space="preserve"> </w:t>
      </w:r>
      <w:r w:rsidR="00773817">
        <w:t xml:space="preserve">4Cs </w:t>
      </w:r>
      <w:r w:rsidR="00B56A3B">
        <w:t>use</w:t>
      </w:r>
      <w:r w:rsidR="00B56A3B" w:rsidRPr="00FE0EC4">
        <w:t xml:space="preserve"> </w:t>
      </w:r>
      <w:r w:rsidR="00FE0EC4" w:rsidRPr="00FE0EC4">
        <w:t>is in line with national/local antimicrobial guidance</w:t>
      </w:r>
      <w:r>
        <w:t>.</w:t>
      </w:r>
      <w:r w:rsidR="00FE0EC4" w:rsidRPr="00FE0EC4">
        <w:t xml:space="preserve"> </w:t>
      </w:r>
    </w:p>
    <w:p w14:paraId="33E58F30" w14:textId="75614D21" w:rsidR="00055C58" w:rsidRDefault="00830AD5" w:rsidP="00830AD5">
      <w:pPr>
        <w:pStyle w:val="ListParagraph"/>
        <w:numPr>
          <w:ilvl w:val="0"/>
          <w:numId w:val="40"/>
        </w:numPr>
      </w:pPr>
      <w:r>
        <w:t>A</w:t>
      </w:r>
      <w:r w:rsidR="00B56A3B">
        <w:t xml:space="preserve">n action </w:t>
      </w:r>
      <w:r w:rsidR="00FE0EC4" w:rsidRPr="00FE0EC4">
        <w:t>plan to optimise prescribing of the 4Cs.</w:t>
      </w:r>
      <w:bookmarkStart w:id="4" w:name="_Toc59099225"/>
      <w:bookmarkStart w:id="5" w:name="_Toc59099976"/>
    </w:p>
    <w:p w14:paraId="4811E38A" w14:textId="7B70DD45" w:rsidR="00055C58" w:rsidRDefault="00FE0EC4" w:rsidP="000727CE">
      <w:pPr>
        <w:pStyle w:val="Heading2"/>
        <w:rPr>
          <w:color w:val="AF1E2C"/>
        </w:rPr>
      </w:pPr>
      <w:bookmarkStart w:id="6" w:name="_Toc59173000"/>
      <w:r w:rsidRPr="00177FD5">
        <w:rPr>
          <w:color w:val="AF1E2C"/>
        </w:rPr>
        <w:t xml:space="preserve">Why should you be </w:t>
      </w:r>
      <w:r w:rsidRPr="008163E8">
        <w:rPr>
          <w:rFonts w:ascii="Arial Bold" w:hAnsi="Arial Bold"/>
          <w:color w:val="AF1E2C"/>
        </w:rPr>
        <w:t>interested</w:t>
      </w:r>
      <w:r w:rsidRPr="00177FD5">
        <w:rPr>
          <w:color w:val="AF1E2C"/>
        </w:rPr>
        <w:t xml:space="preserve"> in the “4Cs”?</w:t>
      </w:r>
      <w:bookmarkEnd w:id="6"/>
    </w:p>
    <w:p w14:paraId="049CD75E" w14:textId="10EAE962" w:rsidR="00055C58" w:rsidRDefault="00055C58" w:rsidP="00880B7D">
      <w:pPr>
        <w:pStyle w:val="ListParagraph"/>
        <w:numPr>
          <w:ilvl w:val="0"/>
          <w:numId w:val="39"/>
        </w:numPr>
      </w:pPr>
      <w:bookmarkStart w:id="7" w:name="_Table_1._Indications"/>
      <w:bookmarkEnd w:id="4"/>
      <w:bookmarkEnd w:id="5"/>
      <w:bookmarkEnd w:id="7"/>
      <w:r>
        <w:t>4Cs</w:t>
      </w:r>
      <w:r w:rsidRPr="00DB304C">
        <w:t xml:space="preserve"> do not improve outcomes compared to narrow-spectrum antibiotics if the bacteria </w:t>
      </w:r>
      <w:r>
        <w:t>are</w:t>
      </w:r>
      <w:r w:rsidRPr="00DB304C">
        <w:t xml:space="preserve"> susceptible</w:t>
      </w:r>
      <w:r>
        <w:t xml:space="preserve"> (</w:t>
      </w:r>
      <w:r w:rsidRPr="00DB304C">
        <w:t xml:space="preserve">NICE </w:t>
      </w:r>
      <w:r>
        <w:t>G</w:t>
      </w:r>
      <w:r w:rsidRPr="00DB304C">
        <w:t>uidance</w:t>
      </w:r>
      <w:r>
        <w:rPr>
          <w:rStyle w:val="EndnoteReference"/>
        </w:rPr>
        <w:endnoteReference w:id="2"/>
      </w:r>
      <w:r>
        <w:t xml:space="preserve"> [</w:t>
      </w:r>
      <w:r w:rsidRPr="00DB304C">
        <w:t>NG84</w:t>
      </w:r>
      <w:r>
        <w:t>]</w:t>
      </w:r>
      <w:r w:rsidRPr="00DB304C">
        <w:t xml:space="preserve">, </w:t>
      </w:r>
      <w:r>
        <w:t>[</w:t>
      </w:r>
      <w:r w:rsidRPr="00DB304C">
        <w:t>NG79</w:t>
      </w:r>
      <w:r>
        <w:t>]</w:t>
      </w:r>
      <w:r w:rsidRPr="00DB304C">
        <w:t xml:space="preserve">, </w:t>
      </w:r>
      <w:r>
        <w:t>[</w:t>
      </w:r>
      <w:r w:rsidRPr="00DB304C">
        <w:t>NG109</w:t>
      </w:r>
      <w:r>
        <w:t>]</w:t>
      </w:r>
      <w:r w:rsidRPr="00DB304C">
        <w:t xml:space="preserve">). </w:t>
      </w:r>
    </w:p>
    <w:p w14:paraId="0FFED2A5" w14:textId="41432300" w:rsidR="00055C58" w:rsidRDefault="00055C58" w:rsidP="00055C58">
      <w:pPr>
        <w:pStyle w:val="ListParagraph"/>
        <w:numPr>
          <w:ilvl w:val="0"/>
          <w:numId w:val="27"/>
        </w:numPr>
      </w:pPr>
      <w:r>
        <w:t>4Cs</w:t>
      </w:r>
      <w:r w:rsidRPr="00DB304C">
        <w:t xml:space="preserve"> increase</w:t>
      </w:r>
      <w:r w:rsidR="002070FA">
        <w:t xml:space="preserve"> the </w:t>
      </w:r>
      <w:r w:rsidRPr="00DB304C">
        <w:t xml:space="preserve">risk of </w:t>
      </w:r>
      <w:r>
        <w:t xml:space="preserve">antibiotic </w:t>
      </w:r>
      <w:r w:rsidRPr="00DB304C">
        <w:t xml:space="preserve">resistance </w:t>
      </w:r>
      <w:r>
        <w:t>for</w:t>
      </w:r>
      <w:r w:rsidRPr="00DB304C">
        <w:t xml:space="preserve"> that patient and </w:t>
      </w:r>
      <w:r>
        <w:t>their</w:t>
      </w:r>
      <w:r w:rsidRPr="00DB304C">
        <w:t xml:space="preserve"> community</w:t>
      </w:r>
      <w:r>
        <w:rPr>
          <w:rStyle w:val="EndnoteReference"/>
        </w:rPr>
        <w:endnoteReference w:id="3"/>
      </w:r>
      <w:r>
        <w:t xml:space="preserve">. </w:t>
      </w:r>
    </w:p>
    <w:p w14:paraId="3DE3BED6" w14:textId="245DC8CB" w:rsidR="00055C58" w:rsidRDefault="00055C58" w:rsidP="00055C58">
      <w:pPr>
        <w:pStyle w:val="ListParagraph"/>
        <w:numPr>
          <w:ilvl w:val="0"/>
          <w:numId w:val="27"/>
        </w:numPr>
      </w:pPr>
      <w:r w:rsidRPr="00B82548">
        <w:rPr>
          <w:i/>
        </w:rPr>
        <w:t>Escherichia coli (E. coli)</w:t>
      </w:r>
      <w:r w:rsidRPr="00F25D32">
        <w:t xml:space="preserve"> </w:t>
      </w:r>
      <w:r w:rsidRPr="00044906">
        <w:t xml:space="preserve">resistance to co-amoxiclav </w:t>
      </w:r>
      <w:r>
        <w:t>in UTIs</w:t>
      </w:r>
      <w:r w:rsidR="001B62E8">
        <w:t xml:space="preserve"> nationally</w:t>
      </w:r>
      <w:r w:rsidRPr="00044906">
        <w:t xml:space="preserve"> </w:t>
      </w:r>
      <w:r>
        <w:t xml:space="preserve">is </w:t>
      </w:r>
      <w:r w:rsidRPr="00044906">
        <w:t>about 20%</w:t>
      </w:r>
      <w:r w:rsidR="001B62E8">
        <w:t xml:space="preserve"> (lab samples)</w:t>
      </w:r>
      <w:r>
        <w:t xml:space="preserve">. </w:t>
      </w:r>
    </w:p>
    <w:p w14:paraId="651CE8BD" w14:textId="16D77172" w:rsidR="00055C58" w:rsidRDefault="00055C58" w:rsidP="00055C58">
      <w:pPr>
        <w:pStyle w:val="ListParagraph"/>
        <w:numPr>
          <w:ilvl w:val="0"/>
          <w:numId w:val="27"/>
        </w:numPr>
      </w:pPr>
      <w:r w:rsidRPr="008163E8">
        <w:t xml:space="preserve">Resistance </w:t>
      </w:r>
      <w:r>
        <w:t>has</w:t>
      </w:r>
      <w:r w:rsidRPr="008163E8">
        <w:t xml:space="preserve"> contributed to</w:t>
      </w:r>
      <w:r>
        <w:rPr>
          <w:i/>
        </w:rPr>
        <w:t xml:space="preserve"> </w:t>
      </w:r>
      <w:r>
        <w:t>increase</w:t>
      </w:r>
      <w:r w:rsidRPr="00F25D32">
        <w:t xml:space="preserve"> </w:t>
      </w:r>
      <w:r>
        <w:t xml:space="preserve">in </w:t>
      </w:r>
      <w:r w:rsidRPr="00B82548">
        <w:rPr>
          <w:i/>
        </w:rPr>
        <w:t>E. coli</w:t>
      </w:r>
      <w:r w:rsidRPr="00F25D32">
        <w:t xml:space="preserve"> blood stream infections </w:t>
      </w:r>
      <w:r>
        <w:t>(BSIs).</w:t>
      </w:r>
    </w:p>
    <w:p w14:paraId="21198210" w14:textId="1F0805FB" w:rsidR="00055C58" w:rsidRDefault="00055C58" w:rsidP="00055C58">
      <w:pPr>
        <w:pStyle w:val="ListParagraph"/>
        <w:numPr>
          <w:ilvl w:val="0"/>
          <w:numId w:val="27"/>
        </w:numPr>
      </w:pPr>
      <w:r>
        <w:t>Co-amoxiclav</w:t>
      </w:r>
      <w:r w:rsidRPr="001829CB">
        <w:t xml:space="preserve"> </w:t>
      </w:r>
      <w:r>
        <w:t xml:space="preserve">is no longer a first line empirical choice for pyelonephritis as over </w:t>
      </w:r>
      <w:r w:rsidRPr="001829CB">
        <w:t>4</w:t>
      </w:r>
      <w:r>
        <w:t>0</w:t>
      </w:r>
      <w:r w:rsidRPr="001829CB">
        <w:t xml:space="preserve">% </w:t>
      </w:r>
      <w:r>
        <w:t xml:space="preserve">of </w:t>
      </w:r>
      <w:proofErr w:type="gramStart"/>
      <w:r w:rsidRPr="00B82548">
        <w:rPr>
          <w:i/>
        </w:rPr>
        <w:t>E.coli</w:t>
      </w:r>
      <w:proofErr w:type="gramEnd"/>
      <w:r>
        <w:t xml:space="preserve"> </w:t>
      </w:r>
      <w:r w:rsidRPr="00B82548">
        <w:rPr>
          <w:bCs/>
        </w:rPr>
        <w:t>BSIs</w:t>
      </w:r>
      <w:r>
        <w:t xml:space="preserve"> are</w:t>
      </w:r>
      <w:r w:rsidRPr="001829CB">
        <w:t xml:space="preserve"> resistant to </w:t>
      </w:r>
      <w:r w:rsidR="00773817">
        <w:t>it</w:t>
      </w:r>
      <w:r>
        <w:rPr>
          <w:rStyle w:val="EndnoteReference"/>
        </w:rPr>
        <w:endnoteReference w:id="4"/>
      </w:r>
      <w:r>
        <w:t>.</w:t>
      </w:r>
      <w:r w:rsidRPr="001829CB">
        <w:t xml:space="preserve"> </w:t>
      </w:r>
    </w:p>
    <w:p w14:paraId="6A9F6CC3" w14:textId="2123E9E1" w:rsidR="00055C58" w:rsidRDefault="00055C58" w:rsidP="00055C58">
      <w:pPr>
        <w:pStyle w:val="ListParagraph"/>
        <w:numPr>
          <w:ilvl w:val="0"/>
          <w:numId w:val="27"/>
        </w:numPr>
      </w:pPr>
      <w:r>
        <w:t>C</w:t>
      </w:r>
      <w:r w:rsidRPr="00F25D32">
        <w:t>iprofloxacin and quinolone</w:t>
      </w:r>
      <w:r>
        <w:t xml:space="preserve"> use </w:t>
      </w:r>
      <w:r w:rsidRPr="00F25D32">
        <w:t>increase</w:t>
      </w:r>
      <w:r>
        <w:t xml:space="preserve">s multi resistant infections due to </w:t>
      </w:r>
      <w:r w:rsidRPr="00F25D32">
        <w:t xml:space="preserve">MRSA and Extended Spectrum Beta-Lactamase (ESBL) producing coliforms.  </w:t>
      </w:r>
    </w:p>
    <w:p w14:paraId="392536CD" w14:textId="0EA570CB" w:rsidR="00055C58" w:rsidRPr="00241D05" w:rsidRDefault="00055C58" w:rsidP="006A6AA5">
      <w:bookmarkStart w:id="8" w:name="_Toc53762300"/>
      <w:bookmarkStart w:id="9" w:name="_Toc59173001"/>
      <w:r w:rsidRPr="00E36BBF">
        <w:rPr>
          <w:rStyle w:val="Heading3Char"/>
        </w:rPr>
        <w:t>Safety:</w:t>
      </w:r>
      <w:bookmarkEnd w:id="8"/>
      <w:bookmarkEnd w:id="9"/>
      <w:r w:rsidRPr="00241D05">
        <w:t xml:space="preserve"> </w:t>
      </w:r>
    </w:p>
    <w:p w14:paraId="63B430FC" w14:textId="43A7BC3F" w:rsidR="00055C58" w:rsidRDefault="00055C58" w:rsidP="00055C58">
      <w:pPr>
        <w:pStyle w:val="ListParagraph"/>
        <w:numPr>
          <w:ilvl w:val="0"/>
          <w:numId w:val="28"/>
        </w:numPr>
      </w:pPr>
      <w:r>
        <w:t xml:space="preserve">The </w:t>
      </w:r>
      <w:r w:rsidRPr="00DB304C">
        <w:t xml:space="preserve">Medicines and Healthcare Products Regulatory Agency (MHRA) </w:t>
      </w:r>
      <w:r>
        <w:t xml:space="preserve">has </w:t>
      </w:r>
      <w:r w:rsidRPr="00DB304C">
        <w:t xml:space="preserve">highlighted </w:t>
      </w:r>
      <w:r w:rsidRPr="00824297">
        <w:t>safety issues with fluoroquinolones</w:t>
      </w:r>
      <w:r w:rsidRPr="00DB304C">
        <w:t xml:space="preserve">. </w:t>
      </w:r>
      <w:bookmarkStart w:id="10" w:name="_Hlk47533562"/>
    </w:p>
    <w:p w14:paraId="12C8290A" w14:textId="7B511F98" w:rsidR="00055C58" w:rsidRPr="00B82548" w:rsidRDefault="00AF3A2B" w:rsidP="00055C58">
      <w:pPr>
        <w:pStyle w:val="ListParagraph"/>
        <w:numPr>
          <w:ilvl w:val="0"/>
          <w:numId w:val="28"/>
        </w:numPr>
      </w:pPr>
      <w:r>
        <w:rPr>
          <w:iCs/>
        </w:rPr>
        <w:t>Fluoroquinolones</w:t>
      </w:r>
      <w:r w:rsidR="0028708C">
        <w:rPr>
          <w:iCs/>
        </w:rPr>
        <w:t xml:space="preserve"> for p</w:t>
      </w:r>
      <w:r w:rsidR="00055C58">
        <w:rPr>
          <w:iCs/>
        </w:rPr>
        <w:t>atients:</w:t>
      </w:r>
      <w:r w:rsidR="00055C58" w:rsidRPr="00B82548">
        <w:rPr>
          <w:iCs/>
        </w:rPr>
        <w:t xml:space="preserve"> 60</w:t>
      </w:r>
      <w:r w:rsidR="00055C58">
        <w:rPr>
          <w:iCs/>
        </w:rPr>
        <w:t>+</w:t>
      </w:r>
      <w:r w:rsidR="00055C58" w:rsidRPr="00B82548">
        <w:rPr>
          <w:iCs/>
        </w:rPr>
        <w:t xml:space="preserve"> years</w:t>
      </w:r>
      <w:r w:rsidR="00055C58">
        <w:rPr>
          <w:iCs/>
        </w:rPr>
        <w:t xml:space="preserve">, </w:t>
      </w:r>
      <w:r w:rsidR="00055C58" w:rsidRPr="00B82548">
        <w:rPr>
          <w:iCs/>
        </w:rPr>
        <w:t>with renal impairment</w:t>
      </w:r>
      <w:r w:rsidR="00055C58">
        <w:rPr>
          <w:iCs/>
        </w:rPr>
        <w:t>,</w:t>
      </w:r>
      <w:r w:rsidR="00055C58" w:rsidRPr="00B82548">
        <w:rPr>
          <w:iCs/>
        </w:rPr>
        <w:t xml:space="preserve"> solid-organ transplants, or when co-prescribed with a corticosteroid are at a higher risk of tendon injury. </w:t>
      </w:r>
    </w:p>
    <w:p w14:paraId="23DB10EB" w14:textId="11DA3C90" w:rsidR="00055C58" w:rsidRDefault="00055C58" w:rsidP="00055C58">
      <w:pPr>
        <w:pStyle w:val="ListParagraph"/>
        <w:numPr>
          <w:ilvl w:val="0"/>
          <w:numId w:val="28"/>
        </w:numPr>
      </w:pPr>
      <w:r>
        <w:t>C</w:t>
      </w:r>
      <w:r w:rsidRPr="00DB304C">
        <w:t xml:space="preserve">iprofloxacin is now only recommended for a </w:t>
      </w:r>
      <w:r>
        <w:t>few</w:t>
      </w:r>
      <w:r w:rsidRPr="00DB304C">
        <w:t xml:space="preserve"> infections</w:t>
      </w:r>
      <w:r>
        <w:t xml:space="preserve"> (</w:t>
      </w:r>
      <w:r w:rsidRPr="00DB304C">
        <w:t xml:space="preserve">usually second </w:t>
      </w:r>
      <w:r w:rsidR="00810BD4">
        <w:t>choice</w:t>
      </w:r>
      <w:r>
        <w:t>).</w:t>
      </w:r>
    </w:p>
    <w:p w14:paraId="6C23715A" w14:textId="7E396F59" w:rsidR="00055C58" w:rsidRPr="00E36BBF" w:rsidRDefault="00055C58" w:rsidP="006A6AA5">
      <w:pPr>
        <w:rPr>
          <w:rStyle w:val="Heading3Char"/>
        </w:rPr>
      </w:pPr>
      <w:bookmarkStart w:id="11" w:name="_Toc53762301"/>
      <w:bookmarkStart w:id="12" w:name="_Toc59173002"/>
      <w:bookmarkEnd w:id="10"/>
      <w:r w:rsidRPr="00E36BBF">
        <w:rPr>
          <w:rStyle w:val="Heading3Char"/>
        </w:rPr>
        <w:t>Clostridium difficile:</w:t>
      </w:r>
      <w:bookmarkEnd w:id="11"/>
      <w:bookmarkEnd w:id="12"/>
      <w:r w:rsidRPr="00E36BBF">
        <w:rPr>
          <w:rStyle w:val="Heading3Char"/>
        </w:rPr>
        <w:t xml:space="preserve"> </w:t>
      </w:r>
    </w:p>
    <w:p w14:paraId="26C080AF" w14:textId="77777777" w:rsidR="00055C58" w:rsidRPr="00B82548" w:rsidRDefault="00055C58" w:rsidP="00055C58">
      <w:pPr>
        <w:pStyle w:val="ListParagraph"/>
        <w:numPr>
          <w:ilvl w:val="0"/>
          <w:numId w:val="29"/>
        </w:numPr>
      </w:pPr>
      <w:r>
        <w:t>4Cs</w:t>
      </w:r>
      <w:r w:rsidRPr="00DB304C">
        <w:t xml:space="preserve"> are more likely to change the gut flora</w:t>
      </w:r>
      <w:r>
        <w:t>,</w:t>
      </w:r>
      <w:r w:rsidRPr="00DB304C">
        <w:t xml:space="preserve"> </w:t>
      </w:r>
      <w:bookmarkStart w:id="13" w:name="_Hlk50653393"/>
      <w:r>
        <w:rPr>
          <w:rFonts w:cs="Arial"/>
        </w:rPr>
        <w:t>encouraging</w:t>
      </w:r>
      <w:r w:rsidRPr="00B82548">
        <w:rPr>
          <w:rFonts w:cs="Arial"/>
        </w:rPr>
        <w:t xml:space="preserve"> </w:t>
      </w:r>
      <w:r w:rsidRPr="00B82548">
        <w:rPr>
          <w:rFonts w:cs="Arial"/>
          <w:bCs/>
          <w:i/>
        </w:rPr>
        <w:t>Clostridium difficile</w:t>
      </w:r>
      <w:r>
        <w:rPr>
          <w:rFonts w:cs="Arial"/>
          <w:bCs/>
          <w:i/>
        </w:rPr>
        <w:t xml:space="preserve"> </w:t>
      </w:r>
      <w:r w:rsidRPr="008163E8">
        <w:rPr>
          <w:rFonts w:cs="Arial"/>
          <w:bCs/>
        </w:rPr>
        <w:t>infection.</w:t>
      </w:r>
    </w:p>
    <w:p w14:paraId="42157E22" w14:textId="1EE6DDA1" w:rsidR="00055C58" w:rsidRPr="00CA48AB" w:rsidRDefault="00055C58" w:rsidP="00055C58">
      <w:pPr>
        <w:pStyle w:val="ListParagraph"/>
        <w:numPr>
          <w:ilvl w:val="0"/>
          <w:numId w:val="29"/>
        </w:numPr>
      </w:pPr>
      <w:r>
        <w:rPr>
          <w:rFonts w:cs="Arial"/>
          <w:bCs/>
        </w:rPr>
        <w:t>O</w:t>
      </w:r>
      <w:r w:rsidRPr="00B82548">
        <w:rPr>
          <w:rFonts w:cs="Arial"/>
          <w:bCs/>
        </w:rPr>
        <w:t>lder</w:t>
      </w:r>
      <w:r>
        <w:rPr>
          <w:rFonts w:cs="Arial"/>
          <w:bCs/>
        </w:rPr>
        <w:t xml:space="preserve"> age,</w:t>
      </w:r>
      <w:r w:rsidRPr="00B82548">
        <w:rPr>
          <w:rFonts w:cs="Arial"/>
          <w:bCs/>
        </w:rPr>
        <w:t xml:space="preserve"> immunocompromise </w:t>
      </w:r>
      <w:r>
        <w:rPr>
          <w:rFonts w:cs="Arial"/>
          <w:bCs/>
        </w:rPr>
        <w:t>or</w:t>
      </w:r>
      <w:r w:rsidRPr="00B82548">
        <w:rPr>
          <w:rFonts w:cs="Arial"/>
          <w:bCs/>
        </w:rPr>
        <w:t xml:space="preserve"> multiple antibiotic courses</w:t>
      </w:r>
      <w:r>
        <w:rPr>
          <w:rFonts w:cs="Arial"/>
          <w:bCs/>
        </w:rPr>
        <w:t xml:space="preserve"> increase</w:t>
      </w:r>
      <w:r w:rsidR="00773817">
        <w:rPr>
          <w:rFonts w:cs="Arial"/>
          <w:bCs/>
        </w:rPr>
        <w:t xml:space="preserve"> </w:t>
      </w:r>
      <w:proofErr w:type="spellStart"/>
      <w:proofErr w:type="gramStart"/>
      <w:r w:rsidR="00773817" w:rsidRPr="00880B7D">
        <w:rPr>
          <w:rFonts w:cs="Arial"/>
          <w:bCs/>
          <w:i/>
        </w:rPr>
        <w:t>C.difficile</w:t>
      </w:r>
      <w:proofErr w:type="spellEnd"/>
      <w:proofErr w:type="gramEnd"/>
      <w:r w:rsidRPr="00880B7D">
        <w:rPr>
          <w:rFonts w:cs="Arial"/>
          <w:bCs/>
          <w:i/>
        </w:rPr>
        <w:t xml:space="preserve"> </w:t>
      </w:r>
      <w:r>
        <w:rPr>
          <w:rFonts w:cs="Arial"/>
          <w:bCs/>
        </w:rPr>
        <w:t>risk</w:t>
      </w:r>
      <w:r>
        <w:rPr>
          <w:rStyle w:val="EndnoteReference"/>
          <w:rFonts w:cs="Arial"/>
          <w:bCs/>
        </w:rPr>
        <w:endnoteReference w:id="5"/>
      </w:r>
      <w:r>
        <w:rPr>
          <w:rFonts w:cs="Arial"/>
          <w:bCs/>
        </w:rPr>
        <w:t>.</w:t>
      </w:r>
    </w:p>
    <w:p w14:paraId="5E931427" w14:textId="53C39234" w:rsidR="00055C58" w:rsidRPr="00241D05" w:rsidRDefault="00055C58" w:rsidP="006A6AA5">
      <w:bookmarkStart w:id="14" w:name="_Toc53762302"/>
      <w:bookmarkStart w:id="15" w:name="_Toc59173003"/>
      <w:bookmarkEnd w:id="13"/>
      <w:r w:rsidRPr="00E36BBF">
        <w:rPr>
          <w:rStyle w:val="Heading3Char"/>
        </w:rPr>
        <w:t>National measures:</w:t>
      </w:r>
      <w:bookmarkEnd w:id="14"/>
      <w:bookmarkEnd w:id="15"/>
      <w:r w:rsidRPr="00241D05">
        <w:t xml:space="preserve"> </w:t>
      </w:r>
      <w:bookmarkStart w:id="16" w:name="_Hlk50653452"/>
    </w:p>
    <w:p w14:paraId="4B78F316" w14:textId="787FA02B" w:rsidR="00055C58" w:rsidRDefault="00055C58" w:rsidP="00055C58">
      <w:pPr>
        <w:pStyle w:val="ListParagraph"/>
        <w:numPr>
          <w:ilvl w:val="0"/>
          <w:numId w:val="30"/>
        </w:numPr>
      </w:pPr>
      <w:r w:rsidRPr="00B82548">
        <w:rPr>
          <w:rFonts w:cs="Arial"/>
        </w:rPr>
        <w:t>The UK AMR ambition by 2024 is to reduce antimicrobial</w:t>
      </w:r>
      <w:r w:rsidR="00773817">
        <w:rPr>
          <w:rFonts w:cs="Arial"/>
        </w:rPr>
        <w:t xml:space="preserve"> use</w:t>
      </w:r>
      <w:r w:rsidR="00F27C12">
        <w:rPr>
          <w:rFonts w:cs="Arial"/>
        </w:rPr>
        <w:t xml:space="preserve"> in humans</w:t>
      </w:r>
      <w:r w:rsidRPr="00B82548">
        <w:rPr>
          <w:rFonts w:cs="Arial"/>
        </w:rPr>
        <w:t xml:space="preserve"> by </w:t>
      </w:r>
      <w:r w:rsidR="00F27C12">
        <w:rPr>
          <w:rFonts w:cs="Arial"/>
        </w:rPr>
        <w:t>15</w:t>
      </w:r>
      <w:r w:rsidRPr="00B82548">
        <w:rPr>
          <w:rFonts w:cs="Arial"/>
        </w:rPr>
        <w:t>%</w:t>
      </w:r>
      <w:r>
        <w:rPr>
          <w:rStyle w:val="EndnoteReference"/>
          <w:rFonts w:cs="Arial"/>
        </w:rPr>
        <w:endnoteReference w:id="6"/>
      </w:r>
      <w:r>
        <w:rPr>
          <w:rFonts w:cs="Arial"/>
          <w:vertAlign w:val="superscript"/>
        </w:rPr>
        <w:t>,</w:t>
      </w:r>
      <w:r>
        <w:rPr>
          <w:rStyle w:val="EndnoteReference"/>
          <w:rFonts w:cs="Arial"/>
        </w:rPr>
        <w:endnoteReference w:id="7"/>
      </w:r>
      <w:r w:rsidRPr="00ED1DAA">
        <w:t>.</w:t>
      </w:r>
      <w:r>
        <w:t xml:space="preserve"> </w:t>
      </w:r>
    </w:p>
    <w:p w14:paraId="7A126170" w14:textId="7B69A2F4" w:rsidR="00055C58" w:rsidRDefault="00055C58" w:rsidP="00055C58">
      <w:pPr>
        <w:pStyle w:val="ListParagraph"/>
        <w:numPr>
          <w:ilvl w:val="0"/>
          <w:numId w:val="30"/>
        </w:numPr>
      </w:pPr>
      <w:r>
        <w:t>The AMR NHS Oversight Framework 2020/21 AMR Indicators aim to improve</w:t>
      </w:r>
      <w:r w:rsidR="00565805">
        <w:t>.</w:t>
      </w:r>
    </w:p>
    <w:p w14:paraId="2E310CB6" w14:textId="6BF9C775" w:rsidR="00055C58" w:rsidRDefault="00773817" w:rsidP="00055C58">
      <w:pPr>
        <w:pStyle w:val="ListParagraph"/>
      </w:pPr>
      <w:r>
        <w:t>a</w:t>
      </w:r>
      <w:r w:rsidR="00055C58">
        <w:t xml:space="preserve">ppropriate prescribing of </w:t>
      </w:r>
      <w:r>
        <w:t xml:space="preserve">primary care </w:t>
      </w:r>
      <w:r w:rsidR="00055C58">
        <w:t>antibiotics (</w:t>
      </w:r>
      <w:r w:rsidR="00055C58" w:rsidRPr="00B82548">
        <w:t>107a</w:t>
      </w:r>
      <w:r w:rsidR="00055C58">
        <w:t>)</w:t>
      </w:r>
      <w:r w:rsidR="00055C58" w:rsidRPr="005C527E">
        <w:t xml:space="preserve"> </w:t>
      </w:r>
      <w:r w:rsidR="00055C58">
        <w:t>including the 4Cs (107b).</w:t>
      </w:r>
    </w:p>
    <w:p w14:paraId="2AC161E2" w14:textId="394EC8CE" w:rsidR="00055C58" w:rsidRDefault="00055C58" w:rsidP="00055C58">
      <w:pPr>
        <w:pStyle w:val="ListParagraph"/>
        <w:numPr>
          <w:ilvl w:val="0"/>
          <w:numId w:val="30"/>
        </w:numPr>
      </w:pPr>
      <w:r>
        <w:t xml:space="preserve">Benchmarking data is available at </w:t>
      </w:r>
      <w:hyperlink r:id="rId8" w:history="1">
        <w:proofErr w:type="spellStart"/>
        <w:r w:rsidR="00C0453B" w:rsidRPr="00C0453B">
          <w:rPr>
            <w:rStyle w:val="Hyperlink"/>
          </w:rPr>
          <w:t>PrescQipp</w:t>
        </w:r>
        <w:proofErr w:type="spellEnd"/>
      </w:hyperlink>
      <w:r w:rsidR="00C0453B">
        <w:t>.</w:t>
      </w:r>
    </w:p>
    <w:bookmarkEnd w:id="16"/>
    <w:p w14:paraId="5E165A97" w14:textId="77777777" w:rsidR="004F6C49" w:rsidRDefault="004F6C49" w:rsidP="00055C58">
      <w:pPr>
        <w:sectPr w:rsidR="004F6C49" w:rsidSect="009F160A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1906" w:h="16838"/>
          <w:pgMar w:top="1702" w:right="1021" w:bottom="851" w:left="1021" w:header="1702" w:footer="709" w:gutter="0"/>
          <w:cols w:space="708"/>
          <w:formProt w:val="0"/>
          <w:docGrid w:linePitch="360"/>
        </w:sectPr>
      </w:pPr>
    </w:p>
    <w:p w14:paraId="12D9D1F8" w14:textId="6F8ABFB3" w:rsidR="009D4ACB" w:rsidRDefault="00934BF5" w:rsidP="009D4ACB">
      <w:pPr>
        <w:pStyle w:val="Heading3"/>
        <w:rPr>
          <w:b w:val="0"/>
          <w:bCs w:val="0"/>
          <w:i/>
          <w:iCs/>
          <w:sz w:val="20"/>
          <w:szCs w:val="20"/>
        </w:rPr>
      </w:pPr>
      <w:bookmarkStart w:id="17" w:name="_Toc59173004"/>
      <w:r w:rsidRPr="00CC2630">
        <w:lastRenderedPageBreak/>
        <w:t xml:space="preserve">Table 1. </w:t>
      </w:r>
      <w:r w:rsidR="00A05E05" w:rsidRPr="009913A7">
        <w:rPr>
          <w:b w:val="0"/>
          <w:bCs w:val="0"/>
        </w:rPr>
        <w:t>Summary of</w:t>
      </w:r>
      <w:r w:rsidR="00A05E05">
        <w:t xml:space="preserve"> </w:t>
      </w:r>
      <w:r w:rsidR="00A05E05">
        <w:rPr>
          <w:b w:val="0"/>
        </w:rPr>
        <w:t>i</w:t>
      </w:r>
      <w:r w:rsidRPr="005E0516">
        <w:rPr>
          <w:b w:val="0"/>
        </w:rPr>
        <w:t xml:space="preserve">ndications </w:t>
      </w:r>
      <w:r w:rsidR="00992DB9">
        <w:rPr>
          <w:b w:val="0"/>
        </w:rPr>
        <w:t>for</w:t>
      </w:r>
      <w:r w:rsidR="00992DB9" w:rsidRPr="005E0516">
        <w:rPr>
          <w:b w:val="0"/>
        </w:rPr>
        <w:t xml:space="preserve"> </w:t>
      </w:r>
      <w:r w:rsidRPr="005E0516">
        <w:rPr>
          <w:b w:val="0"/>
        </w:rPr>
        <w:t>“4C</w:t>
      </w:r>
      <w:r w:rsidR="00992DB9">
        <w:rPr>
          <w:b w:val="0"/>
        </w:rPr>
        <w:t>s</w:t>
      </w:r>
      <w:r w:rsidRPr="005E0516">
        <w:rPr>
          <w:b w:val="0"/>
        </w:rPr>
        <w:t>” in NICE</w:t>
      </w:r>
      <w:r w:rsidR="001203ED">
        <w:rPr>
          <w:b w:val="0"/>
        </w:rPr>
        <w:t xml:space="preserve"> and BASHH</w:t>
      </w:r>
      <w:r w:rsidRPr="005E0516">
        <w:rPr>
          <w:b w:val="0"/>
        </w:rPr>
        <w:t xml:space="preserve"> ‘Managing Common Infections Guidelines’.</w:t>
      </w:r>
      <w:bookmarkEnd w:id="17"/>
      <w:r w:rsidR="009D4ACB">
        <w:t xml:space="preserve"> </w:t>
      </w:r>
      <w:r w:rsidR="00A05E05">
        <w:t xml:space="preserve"> </w:t>
      </w:r>
      <w:r w:rsidR="009913A7" w:rsidRPr="009913A7">
        <w:rPr>
          <w:b w:val="0"/>
          <w:bCs w:val="0"/>
          <w:i/>
          <w:iCs/>
          <w:sz w:val="20"/>
          <w:szCs w:val="20"/>
        </w:rPr>
        <w:t xml:space="preserve">See a comprehensive list </w:t>
      </w:r>
      <w:hyperlink r:id="rId12" w:history="1">
        <w:r w:rsidR="009913A7" w:rsidRPr="009913A7">
          <w:rPr>
            <w:rStyle w:val="Hyperlink"/>
            <w:b w:val="0"/>
            <w:bCs w:val="0"/>
            <w:i/>
            <w:iCs/>
            <w:sz w:val="20"/>
            <w:szCs w:val="20"/>
          </w:rPr>
          <w:t>here</w:t>
        </w:r>
      </w:hyperlink>
      <w:r w:rsidR="009913A7" w:rsidRPr="009913A7">
        <w:rPr>
          <w:b w:val="0"/>
          <w:bCs w:val="0"/>
          <w:i/>
          <w:iCs/>
          <w:sz w:val="20"/>
          <w:szCs w:val="20"/>
        </w:rPr>
        <w:t xml:space="preserve"> </w:t>
      </w:r>
    </w:p>
    <w:p w14:paraId="78BCE57B" w14:textId="77777777" w:rsidR="009D4ACB" w:rsidRPr="006B4A45" w:rsidRDefault="009D4ACB" w:rsidP="009D4ACB">
      <w:pPr>
        <w:rPr>
          <w:rFonts w:cs="Arial"/>
          <w:bCs/>
        </w:rPr>
      </w:pPr>
    </w:p>
    <w:tbl>
      <w:tblPr>
        <w:tblStyle w:val="TableGrid"/>
        <w:tblW w:w="11483" w:type="dxa"/>
        <w:tblInd w:w="-856" w:type="dxa"/>
        <w:tblLook w:val="04A0" w:firstRow="1" w:lastRow="0" w:firstColumn="1" w:lastColumn="0" w:noHBand="0" w:noVBand="1"/>
      </w:tblPr>
      <w:tblGrid>
        <w:gridCol w:w="2147"/>
        <w:gridCol w:w="4516"/>
        <w:gridCol w:w="4820"/>
      </w:tblGrid>
      <w:tr w:rsidR="009D4ACB" w:rsidRPr="00AA6821" w14:paraId="505620FE" w14:textId="77777777" w:rsidTr="004A4121">
        <w:tc>
          <w:tcPr>
            <w:tcW w:w="2147" w:type="dxa"/>
            <w:shd w:val="clear" w:color="auto" w:fill="D9D9D9"/>
          </w:tcPr>
          <w:p w14:paraId="01BC8A03" w14:textId="77777777" w:rsidR="009D4ACB" w:rsidRPr="009913A7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9913A7">
              <w:rPr>
                <w:rFonts w:cs="Arial"/>
                <w:b/>
                <w:sz w:val="22"/>
                <w:szCs w:val="22"/>
              </w:rPr>
              <w:t>“4C” antimicrobial</w:t>
            </w:r>
          </w:p>
        </w:tc>
        <w:tc>
          <w:tcPr>
            <w:tcW w:w="4516" w:type="dxa"/>
            <w:shd w:val="clear" w:color="auto" w:fill="D9D9D9"/>
          </w:tcPr>
          <w:p w14:paraId="39073EFA" w14:textId="07565073" w:rsidR="009D4ACB" w:rsidRPr="009913A7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9913A7">
              <w:rPr>
                <w:rFonts w:cs="Arial"/>
                <w:b/>
                <w:sz w:val="22"/>
                <w:szCs w:val="22"/>
              </w:rPr>
              <w:t xml:space="preserve">First </w:t>
            </w:r>
            <w:r w:rsidR="00810BD4" w:rsidRPr="009913A7">
              <w:rPr>
                <w:rFonts w:cs="Arial"/>
                <w:b/>
                <w:sz w:val="22"/>
                <w:szCs w:val="22"/>
              </w:rPr>
              <w:t xml:space="preserve">choice </w:t>
            </w:r>
            <w:r w:rsidRPr="009913A7">
              <w:rPr>
                <w:rFonts w:cs="Arial"/>
                <w:b/>
                <w:sz w:val="22"/>
                <w:szCs w:val="22"/>
              </w:rPr>
              <w:t xml:space="preserve">indications for 4Cs </w:t>
            </w:r>
          </w:p>
          <w:p w14:paraId="6607C4E7" w14:textId="77777777" w:rsidR="009D4ACB" w:rsidRPr="009913A7" w:rsidRDefault="009D4ACB" w:rsidP="00ED7F82">
            <w:pPr>
              <w:rPr>
                <w:rFonts w:cs="Arial"/>
                <w:sz w:val="22"/>
                <w:szCs w:val="22"/>
              </w:rPr>
            </w:pPr>
            <w:r w:rsidRPr="009913A7">
              <w:rPr>
                <w:rFonts w:cs="Arial"/>
                <w:sz w:val="22"/>
                <w:szCs w:val="22"/>
              </w:rPr>
              <w:t>with their conditions of use.</w:t>
            </w:r>
          </w:p>
          <w:p w14:paraId="5319B8B8" w14:textId="29779C98" w:rsidR="009D4ACB" w:rsidRPr="009040C0" w:rsidRDefault="009D4ACB" w:rsidP="00ED7F82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[Alternative first </w:t>
            </w:r>
            <w:r w:rsidR="00527A07"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choice </w:t>
            </w: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>options</w:t>
            </w:r>
            <w:r w:rsidR="00D92AE6"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 for adults</w:t>
            </w: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>]</w:t>
            </w:r>
          </w:p>
        </w:tc>
        <w:tc>
          <w:tcPr>
            <w:tcW w:w="4820" w:type="dxa"/>
            <w:shd w:val="clear" w:color="auto" w:fill="D9D9D9"/>
          </w:tcPr>
          <w:p w14:paraId="7E1E3147" w14:textId="15591343" w:rsidR="009D4ACB" w:rsidRPr="009913A7" w:rsidRDefault="009D4ACB" w:rsidP="00ED7F82">
            <w:pPr>
              <w:rPr>
                <w:rFonts w:cs="Arial"/>
                <w:sz w:val="22"/>
                <w:szCs w:val="22"/>
              </w:rPr>
            </w:pPr>
            <w:r w:rsidRPr="009913A7">
              <w:rPr>
                <w:rFonts w:cs="Arial"/>
                <w:b/>
                <w:sz w:val="22"/>
                <w:szCs w:val="22"/>
              </w:rPr>
              <w:t xml:space="preserve">Second </w:t>
            </w:r>
            <w:r w:rsidR="00810BD4" w:rsidRPr="009913A7">
              <w:rPr>
                <w:rFonts w:cs="Arial"/>
                <w:b/>
                <w:sz w:val="22"/>
                <w:szCs w:val="22"/>
              </w:rPr>
              <w:t xml:space="preserve">choice </w:t>
            </w:r>
            <w:r w:rsidRPr="009913A7">
              <w:rPr>
                <w:rFonts w:cs="Arial"/>
                <w:b/>
                <w:sz w:val="22"/>
                <w:szCs w:val="22"/>
              </w:rPr>
              <w:t>or alternative indications for 4Cs</w:t>
            </w:r>
            <w:r w:rsidR="00D92AE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92AE6">
              <w:rPr>
                <w:rFonts w:cs="Arial"/>
                <w:sz w:val="22"/>
                <w:szCs w:val="22"/>
              </w:rPr>
              <w:t xml:space="preserve">with </w:t>
            </w:r>
            <w:r w:rsidRPr="009913A7">
              <w:rPr>
                <w:rFonts w:cs="Arial"/>
                <w:sz w:val="22"/>
                <w:szCs w:val="22"/>
              </w:rPr>
              <w:t>their conditions of use.</w:t>
            </w:r>
          </w:p>
          <w:p w14:paraId="67555977" w14:textId="614F49CB" w:rsidR="009D4ACB" w:rsidRPr="009040C0" w:rsidRDefault="009D4ACB" w:rsidP="009913A7">
            <w:pPr>
              <w:ind w:left="360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[Alternative </w:t>
            </w:r>
            <w:r w:rsidRPr="009040C0">
              <w:rPr>
                <w:rFonts w:cstheme="minorBidi"/>
                <w:bCs/>
                <w:i/>
                <w:iCs/>
                <w:color w:val="808080"/>
                <w:sz w:val="22"/>
                <w:szCs w:val="22"/>
              </w:rPr>
              <w:t xml:space="preserve">first </w:t>
            </w:r>
            <w:r w:rsidR="00527A07" w:rsidRPr="009040C0">
              <w:rPr>
                <w:rFonts w:cstheme="minorBidi"/>
                <w:bCs/>
                <w:i/>
                <w:iCs/>
                <w:color w:val="808080"/>
                <w:sz w:val="22"/>
                <w:szCs w:val="22"/>
              </w:rPr>
              <w:t>choice</w:t>
            </w:r>
            <w:r w:rsidR="00527A07"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 </w:t>
            </w: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>option</w:t>
            </w:r>
            <w:r w:rsidR="0000683D"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 xml:space="preserve"> for adults</w:t>
            </w:r>
            <w:r w:rsidRPr="009040C0">
              <w:rPr>
                <w:rFonts w:cs="Arial"/>
                <w:bCs/>
                <w:i/>
                <w:iCs/>
                <w:color w:val="808080"/>
                <w:sz w:val="22"/>
                <w:szCs w:val="22"/>
              </w:rPr>
              <w:t>]</w:t>
            </w:r>
          </w:p>
        </w:tc>
      </w:tr>
      <w:tr w:rsidR="009D4ACB" w:rsidRPr="00B04679" w14:paraId="7A3A1852" w14:textId="77777777" w:rsidTr="004A4121">
        <w:tc>
          <w:tcPr>
            <w:tcW w:w="2147" w:type="dxa"/>
          </w:tcPr>
          <w:p w14:paraId="133C864B" w14:textId="77777777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>Cephalosporins: cefalexin</w:t>
            </w:r>
          </w:p>
          <w:p w14:paraId="13F8B2CE" w14:textId="77777777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B04679">
              <w:rPr>
                <w:rFonts w:cs="Arial"/>
                <w:sz w:val="22"/>
                <w:szCs w:val="22"/>
              </w:rPr>
              <w:t>other</w:t>
            </w:r>
            <w:proofErr w:type="gramEnd"/>
            <w:r w:rsidRPr="00B04679">
              <w:rPr>
                <w:rFonts w:cs="Arial"/>
                <w:sz w:val="22"/>
                <w:szCs w:val="22"/>
              </w:rPr>
              <w:t xml:space="preserve"> cephalosporins are not recommended)</w:t>
            </w:r>
          </w:p>
        </w:tc>
        <w:tc>
          <w:tcPr>
            <w:tcW w:w="4516" w:type="dxa"/>
          </w:tcPr>
          <w:p w14:paraId="46F04E38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RENAL</w:t>
            </w:r>
          </w:p>
          <w:p w14:paraId="0BF59BD4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pyelonephritis,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 xml:space="preserve">complicated UTI, </w:t>
            </w:r>
            <w:r w:rsidRPr="00B04679">
              <w:rPr>
                <w:rFonts w:cs="Arial"/>
                <w:b/>
                <w:bCs/>
                <w:sz w:val="22"/>
                <w:szCs w:val="22"/>
              </w:rPr>
              <w:t>catheter UTI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>with upper UTI symptoms,</w:t>
            </w:r>
          </w:p>
          <w:p w14:paraId="6867D38D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[Co-amoxiclav OR trimethoprim both only if culture results available and susceptible, </w:t>
            </w:r>
          </w:p>
          <w:p w14:paraId="722BC99F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ciprofloxacin (consider safety issues)]</w:t>
            </w:r>
          </w:p>
          <w:p w14:paraId="46778A02" w14:textId="77777777" w:rsidR="0005043C" w:rsidRPr="00B04679" w:rsidRDefault="009D4ACB" w:rsidP="009D4ACB">
            <w:pPr>
              <w:numPr>
                <w:ilvl w:val="0"/>
                <w:numId w:val="3"/>
              </w:numPr>
              <w:ind w:left="321"/>
              <w:contextualSpacing/>
              <w:rPr>
                <w:rFonts w:cs="Arial"/>
                <w:b/>
                <w:color w:val="000000"/>
                <w:sz w:val="22"/>
                <w:szCs w:val="22"/>
              </w:rPr>
            </w:pPr>
            <w:r w:rsidRPr="00B04679">
              <w:rPr>
                <w:rFonts w:cs="Arial"/>
                <w:b/>
                <w:color w:val="000000"/>
                <w:sz w:val="22"/>
                <w:szCs w:val="22"/>
              </w:rPr>
              <w:t xml:space="preserve">Pregnancy related asymptomatic bacteriuria </w:t>
            </w:r>
          </w:p>
          <w:p w14:paraId="14E2CD34" w14:textId="154D02F7" w:rsidR="009D4ACB" w:rsidRPr="009040C0" w:rsidRDefault="009D4ACB" w:rsidP="0005043C">
            <w:pPr>
              <w:ind w:left="321"/>
              <w:contextualSpacing/>
              <w:rPr>
                <w:rFonts w:cs="Arial"/>
                <w:b/>
                <w:i/>
                <w:iCs/>
                <w:color w:val="00000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[Nitrofurantoin, </w:t>
            </w:r>
          </w:p>
          <w:p w14:paraId="5BE701DB" w14:textId="77777777" w:rsidR="009D4ACB" w:rsidRPr="009040C0" w:rsidRDefault="009D4ACB" w:rsidP="00ED7F82">
            <w:pPr>
              <w:ind w:left="321"/>
              <w:contextualSpacing/>
              <w:rPr>
                <w:rFonts w:cs="Arial"/>
                <w:b/>
                <w:i/>
                <w:iCs/>
                <w:color w:val="00000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amoxicillin if culture results available and susceptible].</w:t>
            </w:r>
          </w:p>
          <w:p w14:paraId="483F10B7" w14:textId="77777777" w:rsidR="009D4ACB" w:rsidRPr="00B04679" w:rsidRDefault="009D4ACB" w:rsidP="00ED7F82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671145F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RENAL</w:t>
            </w:r>
          </w:p>
          <w:p w14:paraId="2B275CD3" w14:textId="5E8C230A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Pregnancy</w:t>
            </w:r>
            <w:r w:rsidR="002E32F5" w:rsidRPr="00B0467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>lower UTI,</w:t>
            </w:r>
            <w:r w:rsidRPr="00B04679">
              <w:rPr>
                <w:rFonts w:cs="Arial"/>
                <w:sz w:val="22"/>
                <w:szCs w:val="22"/>
              </w:rPr>
              <w:t xml:space="preserve"> if no improvement in symptoms on first choice taken for at least 48 hours or when first choice not suitable</w:t>
            </w:r>
          </w:p>
          <w:p w14:paraId="53CF8B95" w14:textId="7713CD15" w:rsidR="001C378E" w:rsidRPr="009040C0" w:rsidRDefault="009D4ACB" w:rsidP="00206F8E">
            <w:pPr>
              <w:ind w:left="278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</w:t>
            </w:r>
            <w:r w:rsidR="001C378E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N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itrofurantoin if eGFR ≥45 ml/min (avoid at term)]</w:t>
            </w:r>
          </w:p>
          <w:p w14:paraId="77B796FA" w14:textId="1544AFC2" w:rsidR="004D5D40" w:rsidRPr="00B04679" w:rsidRDefault="001C378E" w:rsidP="004A4121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 xml:space="preserve">Lower UTI </w:t>
            </w:r>
            <w:r w:rsidR="001A20AA" w:rsidRPr="00B04679">
              <w:rPr>
                <w:rFonts w:cs="Arial"/>
                <w:b/>
                <w:sz w:val="22"/>
                <w:szCs w:val="22"/>
              </w:rPr>
              <w:t xml:space="preserve">in </w:t>
            </w:r>
            <w:r w:rsidRPr="00B04679">
              <w:rPr>
                <w:rFonts w:cs="Arial"/>
                <w:b/>
                <w:sz w:val="22"/>
                <w:szCs w:val="22"/>
              </w:rPr>
              <w:t>children</w:t>
            </w:r>
            <w:r w:rsidR="00A2328A" w:rsidRPr="00B04679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A2328A" w:rsidRPr="00B04679">
              <w:rPr>
                <w:rFonts w:cs="Arial"/>
                <w:sz w:val="22"/>
                <w:szCs w:val="22"/>
              </w:rPr>
              <w:t>worsening lower UTI symptoms on first choice taken for at least 48 hours or when first choice not suitable</w:t>
            </w:r>
          </w:p>
          <w:p w14:paraId="6FA17094" w14:textId="36D07F7C" w:rsidR="001C378E" w:rsidRPr="009040C0" w:rsidRDefault="00B4577E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[Nitrofurantoin if eGFR ≥45 ml/min, trimethoprim if low risk of resistance]</w:t>
            </w:r>
          </w:p>
          <w:p w14:paraId="6F7AF9EA" w14:textId="77777777" w:rsidR="001A20AA" w:rsidRPr="00B04679" w:rsidRDefault="001A20AA" w:rsidP="00ED7F82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</w:p>
          <w:p w14:paraId="27A895EE" w14:textId="196AE35A" w:rsidR="009D4ACB" w:rsidRPr="00B04679" w:rsidRDefault="009D4ACB" w:rsidP="009D4ACB">
            <w:pPr>
              <w:numPr>
                <w:ilvl w:val="0"/>
                <w:numId w:val="3"/>
              </w:numPr>
              <w:ind w:left="269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Recurrent UTI (prophylaxis)</w:t>
            </w:r>
          </w:p>
          <w:p w14:paraId="098CA60E" w14:textId="72F6451E" w:rsidR="009D4ACB" w:rsidRPr="009040C0" w:rsidRDefault="009D4ACB" w:rsidP="00ED7F82">
            <w:pPr>
              <w:ind w:left="269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</w:t>
            </w:r>
            <w:r w:rsidR="00884351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T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rimethoprim, </w:t>
            </w:r>
          </w:p>
          <w:p w14:paraId="73CB0B59" w14:textId="6D27DC9E" w:rsidR="009D4ACB" w:rsidRPr="009040C0" w:rsidRDefault="009D4ACB" w:rsidP="00ED7F82">
            <w:pPr>
              <w:ind w:left="269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OR nitrofurantoin if eGFR ≥45 ml/min] </w:t>
            </w:r>
          </w:p>
          <w:p w14:paraId="2D478034" w14:textId="5CD75B25" w:rsidR="00BC1759" w:rsidRPr="00B04679" w:rsidRDefault="00BC1759" w:rsidP="009913A7">
            <w:pPr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4F7F523D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GUT</w:t>
            </w:r>
          </w:p>
          <w:p w14:paraId="5954C56C" w14:textId="77777777" w:rsidR="00E756F1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diverticulitis (uncomplicated)</w:t>
            </w:r>
            <w:r w:rsidRPr="00B04679">
              <w:rPr>
                <w:rFonts w:cs="Arial"/>
                <w:sz w:val="22"/>
                <w:szCs w:val="22"/>
              </w:rPr>
              <w:t xml:space="preserve">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4"/>
            </w:tblGrid>
            <w:tr w:rsidR="00E756F1" w:rsidRPr="00B04679" w14:paraId="7937D993" w14:textId="77777777">
              <w:trPr>
                <w:trHeight w:val="553"/>
              </w:trPr>
              <w:tc>
                <w:tcPr>
                  <w:tcW w:w="0" w:type="auto"/>
                </w:tcPr>
                <w:p w14:paraId="78AF5409" w14:textId="2AFEE2AD" w:rsidR="00E756F1" w:rsidRPr="00B04679" w:rsidRDefault="0071729B" w:rsidP="00880B7D">
                  <w:pPr>
                    <w:ind w:left="278"/>
                    <w:contextualSpacing/>
                    <w:rPr>
                      <w:rFonts w:cs="Arial"/>
                      <w:sz w:val="22"/>
                      <w:szCs w:val="22"/>
                    </w:rPr>
                  </w:pPr>
                  <w:r w:rsidRPr="00B04679">
                    <w:rPr>
                      <w:rFonts w:cs="Arial"/>
                      <w:bCs/>
                      <w:sz w:val="22"/>
                      <w:szCs w:val="22"/>
                    </w:rPr>
                    <w:t>i</w:t>
                  </w:r>
                  <w:r w:rsidR="00E756F1" w:rsidRPr="00B04679">
                    <w:rPr>
                      <w:rFonts w:cs="Arial"/>
                      <w:bCs/>
                      <w:sz w:val="22"/>
                      <w:szCs w:val="22"/>
                    </w:rPr>
                    <w:t>f Penicillin allergy or co-amoxiclav unsuitable</w:t>
                  </w:r>
                  <w:r w:rsidR="00E756F1" w:rsidRPr="00B04679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56F1" w:rsidRPr="00B04679">
                    <w:rPr>
                      <w:rFonts w:cs="Arial"/>
                      <w:sz w:val="22"/>
                      <w:szCs w:val="22"/>
                    </w:rPr>
                    <w:t xml:space="preserve">cefalexin (caution in penicillin allergy) </w:t>
                  </w:r>
                  <w:r w:rsidR="00E756F1" w:rsidRPr="00B04679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AND </w:t>
                  </w:r>
                  <w:r w:rsidR="00E756F1" w:rsidRPr="00B04679">
                    <w:rPr>
                      <w:rFonts w:cs="Arial"/>
                      <w:sz w:val="22"/>
                      <w:szCs w:val="22"/>
                    </w:rPr>
                    <w:t>metronidazole</w:t>
                  </w:r>
                  <w:r w:rsidR="00E756F1" w:rsidRPr="00B04679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D14871F" w14:textId="6CC67A4B" w:rsidR="009D4ACB" w:rsidRPr="009040C0" w:rsidRDefault="0071729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 w:rsidDel="0071729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9D4ACB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[Co-amoxiclav </w:t>
            </w:r>
          </w:p>
          <w:p w14:paraId="6FFA8E83" w14:textId="2D3B097E" w:rsidR="009D4ACB" w:rsidRPr="00B04679" w:rsidRDefault="009D4ACB" w:rsidP="00D25E51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</w:t>
            </w:r>
            <w:r w:rsidR="0071729B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in penicillin allergy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trimethoprim WITH metronidazole] </w:t>
            </w:r>
          </w:p>
        </w:tc>
      </w:tr>
      <w:tr w:rsidR="009D4ACB" w:rsidRPr="00B04679" w14:paraId="35C7C375" w14:textId="77777777" w:rsidTr="004A4121">
        <w:tc>
          <w:tcPr>
            <w:tcW w:w="2147" w:type="dxa"/>
          </w:tcPr>
          <w:p w14:paraId="21C3EED0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Co-amoxiclav</w:t>
            </w:r>
          </w:p>
        </w:tc>
        <w:tc>
          <w:tcPr>
            <w:tcW w:w="4516" w:type="dxa"/>
          </w:tcPr>
          <w:p w14:paraId="2948A03A" w14:textId="77777777" w:rsidR="00BC1759" w:rsidRPr="00B04679" w:rsidRDefault="00BC1759" w:rsidP="00BC1759">
            <w:pPr>
              <w:ind w:left="-82"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RESPIRATORY AND ENT</w:t>
            </w:r>
          </w:p>
          <w:p w14:paraId="41E6834A" w14:textId="52F0E4FC" w:rsidR="00BC1759" w:rsidRPr="00B04679" w:rsidRDefault="00884351" w:rsidP="00884351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 xml:space="preserve">Community-acquired pneumonia, </w:t>
            </w:r>
            <w:r w:rsidRPr="00B04679">
              <w:rPr>
                <w:rFonts w:cs="Arial"/>
                <w:bCs/>
                <w:sz w:val="22"/>
                <w:szCs w:val="22"/>
              </w:rPr>
              <w:t>high severity CRB</w:t>
            </w:r>
            <w:r w:rsidR="0087077E" w:rsidRPr="00B04679">
              <w:rPr>
                <w:rFonts w:cs="Arial"/>
                <w:bCs/>
                <w:sz w:val="22"/>
                <w:szCs w:val="22"/>
              </w:rPr>
              <w:t>65</w:t>
            </w:r>
            <w:r w:rsidRPr="00B04679">
              <w:rPr>
                <w:rFonts w:cs="Arial"/>
                <w:bCs/>
                <w:sz w:val="22"/>
                <w:szCs w:val="22"/>
              </w:rPr>
              <w:t xml:space="preserve"> score</w:t>
            </w:r>
            <w:r w:rsidR="00BD561C" w:rsidRPr="00B0467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215FF" w:rsidRPr="00B04679">
              <w:rPr>
                <w:rFonts w:cs="Arial"/>
                <w:bCs/>
                <w:sz w:val="22"/>
                <w:szCs w:val="22"/>
              </w:rPr>
              <w:t>3-</w:t>
            </w:r>
            <w:r w:rsidR="001577D3" w:rsidRPr="00B04679">
              <w:rPr>
                <w:rFonts w:cs="Arial"/>
                <w:bCs/>
                <w:sz w:val="22"/>
                <w:szCs w:val="22"/>
              </w:rPr>
              <w:t>4</w:t>
            </w:r>
            <w:r w:rsidR="009D3FA3" w:rsidRPr="00B04679">
              <w:rPr>
                <w:rFonts w:cs="Arial"/>
                <w:bCs/>
                <w:sz w:val="22"/>
                <w:szCs w:val="22"/>
              </w:rPr>
              <w:t xml:space="preserve"> use co-amoxiclav </w:t>
            </w:r>
            <w:r w:rsidR="00B5589F" w:rsidRPr="00B04679">
              <w:rPr>
                <w:rFonts w:cs="Arial"/>
                <w:bCs/>
                <w:sz w:val="22"/>
                <w:szCs w:val="22"/>
              </w:rPr>
              <w:t>PLUS</w:t>
            </w:r>
            <w:r w:rsidR="009D3FA3" w:rsidRPr="00B04679">
              <w:rPr>
                <w:rFonts w:cs="Arial"/>
                <w:bCs/>
                <w:sz w:val="22"/>
                <w:szCs w:val="22"/>
              </w:rPr>
              <w:t xml:space="preserve"> clarithromycin OR erythromycin in pregnancy</w:t>
            </w:r>
          </w:p>
          <w:p w14:paraId="74AD6020" w14:textId="486ABD21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RENAL</w:t>
            </w:r>
          </w:p>
          <w:p w14:paraId="3A4D9F2A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iCs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pyelonephritis,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 xml:space="preserve">complicated UTI, </w:t>
            </w:r>
            <w:r w:rsidRPr="00B04679">
              <w:rPr>
                <w:rFonts w:cs="Arial"/>
                <w:b/>
                <w:bCs/>
                <w:sz w:val="22"/>
                <w:szCs w:val="22"/>
              </w:rPr>
              <w:t>catheter UTI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>with upper UTI symptoms</w:t>
            </w:r>
            <w:r w:rsidRPr="00B04679">
              <w:rPr>
                <w:rFonts w:cs="Arial"/>
                <w:sz w:val="22"/>
                <w:szCs w:val="22"/>
              </w:rPr>
              <w:t xml:space="preserve">, </w:t>
            </w:r>
            <w:r w:rsidRPr="00B04679">
              <w:rPr>
                <w:rFonts w:cs="Arial"/>
                <w:bCs/>
                <w:iCs/>
                <w:sz w:val="22"/>
                <w:szCs w:val="22"/>
              </w:rPr>
              <w:t xml:space="preserve">excluding pregnant women </w:t>
            </w:r>
            <w:r w:rsidRPr="00B04679">
              <w:rPr>
                <w:rFonts w:cs="Arial"/>
                <w:iCs/>
                <w:sz w:val="22"/>
                <w:szCs w:val="22"/>
              </w:rPr>
              <w:t>and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iCs/>
                <w:sz w:val="22"/>
                <w:szCs w:val="22"/>
              </w:rPr>
              <w:t>only if culture results available &amp; susceptible</w:t>
            </w:r>
          </w:p>
          <w:p w14:paraId="4EDFEBB1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lastRenderedPageBreak/>
              <w:t>[Cefalexin,</w:t>
            </w:r>
          </w:p>
          <w:p w14:paraId="7F61D28B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trimethoprim only if culture results available and susceptible, OR ciprofloxacin (consider safety issues)]</w:t>
            </w:r>
          </w:p>
          <w:p w14:paraId="66D71841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SKIN</w:t>
            </w:r>
          </w:p>
          <w:p w14:paraId="64CA55E5" w14:textId="5ECD357B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Bites</w:t>
            </w:r>
            <w:r w:rsidR="00392CA3" w:rsidRPr="00B0467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92CA3" w:rsidRPr="00B04679">
              <w:rPr>
                <w:rFonts w:cs="Arial"/>
                <w:bCs/>
                <w:sz w:val="22"/>
                <w:szCs w:val="22"/>
              </w:rPr>
              <w:t>(human and animal)</w:t>
            </w:r>
            <w:r w:rsidRPr="00B04679">
              <w:rPr>
                <w:rFonts w:cs="Arial"/>
                <w:bCs/>
                <w:sz w:val="22"/>
                <w:szCs w:val="22"/>
              </w:rPr>
              <w:t>,</w:t>
            </w:r>
            <w:r w:rsidRPr="00B04679">
              <w:rPr>
                <w:rFonts w:cs="Arial"/>
                <w:sz w:val="22"/>
                <w:szCs w:val="22"/>
              </w:rPr>
              <w:t xml:space="preserve"> prophylaxis/ treatment.</w:t>
            </w:r>
          </w:p>
          <w:p w14:paraId="414E1BB1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Cellulitis and erysipelas</w:t>
            </w:r>
            <w:r w:rsidRPr="00B04679">
              <w:rPr>
                <w:rFonts w:cs="Arial"/>
                <w:sz w:val="22"/>
                <w:szCs w:val="22"/>
              </w:rPr>
              <w:t xml:space="preserve"> if infection near eyes or nose or severe.</w:t>
            </w:r>
          </w:p>
          <w:p w14:paraId="6C89258C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[Clarithromycin WITH metronidazole]</w:t>
            </w:r>
          </w:p>
          <w:p w14:paraId="64725A4D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GUT</w:t>
            </w:r>
          </w:p>
          <w:p w14:paraId="11FF324A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diverticulitis</w:t>
            </w:r>
          </w:p>
          <w:p w14:paraId="0638ED18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[Cefalexin WITH metronidazole,</w:t>
            </w:r>
          </w:p>
          <w:p w14:paraId="50EC6BA3" w14:textId="77777777" w:rsidR="009D4ACB" w:rsidRPr="00B04679" w:rsidRDefault="009D4ACB" w:rsidP="00ED7F82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OR trimethoprim WITH metronidazole if penicillin allergy] </w:t>
            </w:r>
          </w:p>
        </w:tc>
        <w:tc>
          <w:tcPr>
            <w:tcW w:w="4820" w:type="dxa"/>
          </w:tcPr>
          <w:p w14:paraId="18EA35B7" w14:textId="77777777" w:rsidR="009D4ACB" w:rsidRPr="00B04679" w:rsidRDefault="009D4ACB" w:rsidP="00ED7F82">
            <w:pPr>
              <w:ind w:left="-82"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lastRenderedPageBreak/>
              <w:t>RESPIRATORY AND ENT</w:t>
            </w:r>
          </w:p>
          <w:p w14:paraId="6C1B7DBA" w14:textId="31419E02" w:rsidR="009D4ACB" w:rsidRPr="00B04679" w:rsidRDefault="009D4ACB" w:rsidP="004A61DF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Sinusitis, if systemically very unwell</w:t>
            </w:r>
            <w:r w:rsidRPr="00B04679">
              <w:rPr>
                <w:rFonts w:cs="Arial"/>
                <w:sz w:val="22"/>
                <w:szCs w:val="22"/>
              </w:rPr>
              <w:t xml:space="preserve"> or high risk of complications or if worsening symptoms on first choice </w:t>
            </w:r>
          </w:p>
          <w:p w14:paraId="577E8B88" w14:textId="77777777" w:rsidR="00AA1AD4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otitis media, worsening symptoms</w:t>
            </w:r>
            <w:r w:rsidRPr="00B04679">
              <w:rPr>
                <w:rFonts w:cs="Arial"/>
                <w:sz w:val="22"/>
                <w:szCs w:val="22"/>
              </w:rPr>
              <w:t xml:space="preserve"> in children on first choice taken for at least 2 to 3 days.</w:t>
            </w:r>
            <w:r w:rsidR="00527A07" w:rsidRPr="00B04679">
              <w:rPr>
                <w:rFonts w:cs="Arial"/>
                <w:sz w:val="22"/>
                <w:szCs w:val="22"/>
              </w:rPr>
              <w:t xml:space="preserve"> </w:t>
            </w:r>
          </w:p>
          <w:p w14:paraId="598EB923" w14:textId="77777777" w:rsidR="00AA1AD4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exacerbation of COPD or bronchiectasis</w:t>
            </w:r>
            <w:r w:rsidRPr="00B04679">
              <w:rPr>
                <w:rFonts w:cs="Arial"/>
                <w:sz w:val="22"/>
                <w:szCs w:val="22"/>
              </w:rPr>
              <w:t xml:space="preserve">, </w:t>
            </w:r>
            <w:r w:rsidRPr="00B04679">
              <w:rPr>
                <w:rFonts w:cs="Arial"/>
                <w:b/>
                <w:sz w:val="22"/>
                <w:szCs w:val="22"/>
              </w:rPr>
              <w:t>and person at higher risk of treatment failure</w:t>
            </w:r>
            <w:r w:rsidRPr="00B04679">
              <w:rPr>
                <w:rFonts w:cs="Arial"/>
                <w:sz w:val="22"/>
                <w:szCs w:val="22"/>
              </w:rPr>
              <w:t xml:space="preserve"> and guided by microbiology results</w:t>
            </w:r>
            <w:r w:rsidR="00527A07" w:rsidRPr="00B04679">
              <w:rPr>
                <w:rFonts w:cs="Arial"/>
                <w:sz w:val="22"/>
                <w:szCs w:val="22"/>
              </w:rPr>
              <w:t xml:space="preserve"> </w:t>
            </w:r>
          </w:p>
          <w:p w14:paraId="77526466" w14:textId="3D5869E4" w:rsidR="009D4ACB" w:rsidRPr="009040C0" w:rsidRDefault="00527A07" w:rsidP="004A61DF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lastRenderedPageBreak/>
              <w:t xml:space="preserve">[Amoxicillin, </w:t>
            </w:r>
            <w:r w:rsidR="0005043C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doxycycline</w:t>
            </w:r>
            <w:r w:rsidR="0005043C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,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="0005043C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clarithromycin]</w:t>
            </w:r>
          </w:p>
          <w:p w14:paraId="4BFDE85B" w14:textId="77777777" w:rsidR="00366BD3" w:rsidRPr="00B04679" w:rsidRDefault="00366BD3" w:rsidP="00ED7F82">
            <w:pPr>
              <w:rPr>
                <w:rFonts w:cs="Arial"/>
                <w:b/>
                <w:sz w:val="22"/>
                <w:szCs w:val="22"/>
              </w:rPr>
            </w:pPr>
          </w:p>
          <w:p w14:paraId="198E9515" w14:textId="77777777" w:rsidR="00366BD3" w:rsidRPr="00B04679" w:rsidRDefault="00366BD3" w:rsidP="00ED7F82">
            <w:pPr>
              <w:rPr>
                <w:rFonts w:cs="Arial"/>
                <w:b/>
                <w:sz w:val="22"/>
                <w:szCs w:val="22"/>
              </w:rPr>
            </w:pPr>
          </w:p>
          <w:p w14:paraId="4B4180DE" w14:textId="77777777" w:rsidR="00366BD3" w:rsidRPr="00B04679" w:rsidRDefault="00366BD3" w:rsidP="00ED7F82">
            <w:pPr>
              <w:rPr>
                <w:rFonts w:cs="Arial"/>
                <w:b/>
                <w:sz w:val="22"/>
                <w:szCs w:val="22"/>
              </w:rPr>
            </w:pPr>
          </w:p>
          <w:p w14:paraId="2EE29611" w14:textId="0DFA0293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SKIN</w:t>
            </w:r>
          </w:p>
          <w:p w14:paraId="45A3CB23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Leg ulcer infection,</w:t>
            </w:r>
            <w:r w:rsidRPr="00B04679">
              <w:rPr>
                <w:rFonts w:cs="Arial"/>
                <w:sz w:val="22"/>
                <w:szCs w:val="22"/>
              </w:rPr>
              <w:t xml:space="preserve"> guided by microbiological results.</w:t>
            </w:r>
          </w:p>
          <w:p w14:paraId="37B4EA10" w14:textId="073125A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[Flucloxacillin.</w:t>
            </w:r>
          </w:p>
          <w:p w14:paraId="32843451" w14:textId="3CED74DB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If penicillin allergy or flucloxacillin unsuitable: </w:t>
            </w:r>
            <w:r w:rsidR="0005043C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D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oxycycline OR clarithromycin (erythromycin in pregnancy)]</w:t>
            </w:r>
          </w:p>
          <w:p w14:paraId="14D7CC5D" w14:textId="77777777" w:rsidR="009D4ACB" w:rsidRPr="00B04679" w:rsidRDefault="009D4ACB" w:rsidP="00ED7F82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9D4ACB" w:rsidRPr="00B04679" w14:paraId="2718706E" w14:textId="77777777" w:rsidTr="004A4121">
        <w:tc>
          <w:tcPr>
            <w:tcW w:w="2147" w:type="dxa"/>
          </w:tcPr>
          <w:p w14:paraId="4BA237C5" w14:textId="77777777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bookmarkStart w:id="18" w:name="_Hlk49260960"/>
            <w:r w:rsidRPr="00B04679">
              <w:rPr>
                <w:rFonts w:cs="Arial"/>
                <w:b/>
                <w:sz w:val="22"/>
                <w:szCs w:val="22"/>
              </w:rPr>
              <w:lastRenderedPageBreak/>
              <w:t>Fluoroquinolones:</w:t>
            </w:r>
            <w:r w:rsidRPr="00B04679">
              <w:rPr>
                <w:rFonts w:cs="Arial"/>
                <w:sz w:val="22"/>
                <w:szCs w:val="22"/>
              </w:rPr>
              <w:t xml:space="preserve"> levofloxacin, </w:t>
            </w:r>
          </w:p>
          <w:p w14:paraId="05093837" w14:textId="77777777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>ciprofloxacin, ofloxacin</w:t>
            </w:r>
            <w:r w:rsidR="002E32F5" w:rsidRPr="00B04679">
              <w:rPr>
                <w:rFonts w:cs="Arial"/>
                <w:sz w:val="22"/>
                <w:szCs w:val="22"/>
              </w:rPr>
              <w:t xml:space="preserve">, moxifloxacin 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</w:p>
          <w:p w14:paraId="2942595C" w14:textId="6F93CC6A" w:rsidR="00B4577E" w:rsidRPr="00B04679" w:rsidRDefault="00B4577E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>(</w:t>
            </w:r>
            <w:r w:rsidR="002B4A66" w:rsidRPr="00B04679">
              <w:rPr>
                <w:rFonts w:cs="Arial"/>
                <w:sz w:val="22"/>
                <w:szCs w:val="22"/>
              </w:rPr>
              <w:t>A</w:t>
            </w:r>
            <w:r w:rsidRPr="00B04679">
              <w:rPr>
                <w:rFonts w:cs="Arial"/>
                <w:sz w:val="22"/>
                <w:szCs w:val="22"/>
              </w:rPr>
              <w:t>dults)</w:t>
            </w:r>
          </w:p>
        </w:tc>
        <w:tc>
          <w:tcPr>
            <w:tcW w:w="4516" w:type="dxa"/>
          </w:tcPr>
          <w:p w14:paraId="716ADB43" w14:textId="77777777" w:rsidR="009D4ACB" w:rsidRPr="00B04679" w:rsidRDefault="009D4ACB" w:rsidP="00ED7F82">
            <w:pPr>
              <w:rPr>
                <w:rFonts w:cs="Arial"/>
                <w:i/>
                <w:sz w:val="22"/>
                <w:szCs w:val="22"/>
              </w:rPr>
            </w:pPr>
            <w:r w:rsidRPr="00B04679">
              <w:rPr>
                <w:rFonts w:cs="Arial"/>
                <w:i/>
                <w:sz w:val="22"/>
                <w:szCs w:val="22"/>
              </w:rPr>
              <w:t>Consider safety issues</w:t>
            </w:r>
          </w:p>
          <w:p w14:paraId="2B6A8610" w14:textId="037E3663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 xml:space="preserve">No </w:t>
            </w:r>
            <w:proofErr w:type="gramStart"/>
            <w:r w:rsidRPr="00B04679">
              <w:rPr>
                <w:rFonts w:cs="Arial"/>
                <w:b/>
                <w:sz w:val="22"/>
                <w:szCs w:val="22"/>
              </w:rPr>
              <w:t xml:space="preserve">first </w:t>
            </w:r>
            <w:r w:rsidR="00810BD4" w:rsidRPr="00B04679">
              <w:rPr>
                <w:rFonts w:cs="Arial"/>
                <w:b/>
                <w:sz w:val="22"/>
                <w:szCs w:val="22"/>
              </w:rPr>
              <w:t>choice</w:t>
            </w:r>
            <w:proofErr w:type="gramEnd"/>
            <w:r w:rsidR="00810BD4" w:rsidRPr="00B0467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>indications for levofloxacin</w:t>
            </w:r>
          </w:p>
          <w:p w14:paraId="30A5DCDE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RENAL</w:t>
            </w:r>
          </w:p>
          <w:p w14:paraId="66170E4F" w14:textId="277FA603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pyelonephritis,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 xml:space="preserve">complicated UTI, </w:t>
            </w:r>
            <w:r w:rsidRPr="00B04679">
              <w:rPr>
                <w:rFonts w:cs="Arial"/>
                <w:b/>
                <w:bCs/>
                <w:sz w:val="22"/>
                <w:szCs w:val="22"/>
              </w:rPr>
              <w:t>catheter UTI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/>
                <w:sz w:val="22"/>
                <w:szCs w:val="22"/>
              </w:rPr>
              <w:t>with upper UTI symptoms</w:t>
            </w:r>
            <w:r w:rsidRPr="00B04679">
              <w:rPr>
                <w:rFonts w:cs="Arial"/>
                <w:sz w:val="22"/>
                <w:szCs w:val="22"/>
              </w:rPr>
              <w:t xml:space="preserve">, Ciprofloxacin. </w:t>
            </w:r>
            <w:r w:rsidRPr="00B04679">
              <w:rPr>
                <w:rFonts w:cs="Arial"/>
                <w:bCs/>
                <w:iCs/>
                <w:sz w:val="22"/>
                <w:szCs w:val="22"/>
              </w:rPr>
              <w:t xml:space="preserve">Excluding pregnant women </w:t>
            </w:r>
            <w:r w:rsidRPr="00B04679">
              <w:rPr>
                <w:rFonts w:cs="Arial"/>
                <w:iCs/>
                <w:sz w:val="22"/>
                <w:szCs w:val="22"/>
              </w:rPr>
              <w:t>and</w:t>
            </w: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iCs/>
                <w:sz w:val="22"/>
                <w:szCs w:val="22"/>
              </w:rPr>
              <w:t>guided by microbiology results</w:t>
            </w:r>
            <w:r w:rsidRPr="00B04679">
              <w:rPr>
                <w:rFonts w:cs="Arial"/>
                <w:sz w:val="22"/>
                <w:szCs w:val="22"/>
              </w:rPr>
              <w:t>,</w:t>
            </w:r>
          </w:p>
          <w:p w14:paraId="1D8CC87D" w14:textId="77777777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[Cefalexin, </w:t>
            </w:r>
          </w:p>
          <w:p w14:paraId="3CF42A71" w14:textId="0452642B" w:rsidR="009D4ACB" w:rsidRPr="009040C0" w:rsidRDefault="009D4ACB" w:rsidP="00ED7F82">
            <w:pPr>
              <w:ind w:left="278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co-amoxiclav OR trimethoprim both only if culture results available and susceptible</w:t>
            </w:r>
            <w:r w:rsidR="008B6F12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]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  <w:p w14:paraId="7E0D1261" w14:textId="77777777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prostatitis</w:t>
            </w:r>
            <w:r w:rsidRPr="00B04679">
              <w:rPr>
                <w:rFonts w:cs="Arial"/>
                <w:sz w:val="22"/>
                <w:szCs w:val="22"/>
              </w:rPr>
              <w:t xml:space="preserve"> guided by susceptibilities when available</w:t>
            </w:r>
          </w:p>
          <w:p w14:paraId="5EE7EF48" w14:textId="77777777" w:rsidR="00121E30" w:rsidRPr="009040C0" w:rsidRDefault="009D4ACB" w:rsidP="00121E30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[Ciprofloxacin OR ofloxacin</w:t>
            </w:r>
          </w:p>
          <w:p w14:paraId="70B1A612" w14:textId="05F868A3" w:rsidR="009D4ACB" w:rsidRPr="009040C0" w:rsidRDefault="009D4ACB" w:rsidP="009913A7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trimethoprim if fluoroquinolone not appropriate]</w:t>
            </w:r>
          </w:p>
          <w:p w14:paraId="25D2ED30" w14:textId="27E21837" w:rsidR="008E19F4" w:rsidRPr="00B04679" w:rsidRDefault="008E19F4" w:rsidP="009913A7">
            <w:pPr>
              <w:ind w:left="278"/>
              <w:contextualSpacing/>
              <w:rPr>
                <w:rFonts w:cs="Arial"/>
                <w:b/>
                <w:color w:val="808080"/>
                <w:sz w:val="22"/>
                <w:szCs w:val="22"/>
              </w:rPr>
            </w:pPr>
          </w:p>
          <w:p w14:paraId="34DBDB39" w14:textId="77777777" w:rsidR="008E19F4" w:rsidRPr="00B04679" w:rsidRDefault="008E19F4" w:rsidP="008E19F4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GENITAL</w:t>
            </w:r>
          </w:p>
          <w:p w14:paraId="7175F857" w14:textId="7593F0AF" w:rsidR="008E19F4" w:rsidRPr="00B04679" w:rsidRDefault="008E19F4" w:rsidP="008E19F4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Gonorrhoea</w:t>
            </w:r>
            <w:r w:rsidR="00B04679" w:rsidRPr="00B04679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B04679" w:rsidRPr="00B04679">
              <w:rPr>
                <w:rFonts w:cs="Arial"/>
                <w:bCs/>
                <w:sz w:val="22"/>
                <w:szCs w:val="22"/>
              </w:rPr>
              <w:t>Ciprofloxacin only if known to be sensitive.</w:t>
            </w:r>
          </w:p>
          <w:p w14:paraId="034D9AF4" w14:textId="16253A21" w:rsidR="008E19F4" w:rsidRPr="009040C0" w:rsidRDefault="008E19F4" w:rsidP="00B04679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[IM ceftriaxone if susceptibilities not known]</w:t>
            </w:r>
          </w:p>
          <w:p w14:paraId="27C7BE4A" w14:textId="77777777" w:rsidR="008E19F4" w:rsidRPr="00B04679" w:rsidRDefault="008E19F4" w:rsidP="009913A7">
            <w:p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</w:p>
          <w:p w14:paraId="1872921D" w14:textId="77777777" w:rsidR="009D4ACB" w:rsidRPr="00B04679" w:rsidRDefault="009D4ACB" w:rsidP="00DF2E67">
            <w:pPr>
              <w:ind w:left="278"/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E5C16E8" w14:textId="77777777" w:rsidR="009D4ACB" w:rsidRPr="00B04679" w:rsidRDefault="009D4ACB" w:rsidP="00ED7F82">
            <w:pPr>
              <w:rPr>
                <w:rFonts w:cs="Arial"/>
                <w:i/>
                <w:sz w:val="22"/>
                <w:szCs w:val="22"/>
              </w:rPr>
            </w:pPr>
            <w:r w:rsidRPr="00B04679">
              <w:rPr>
                <w:rFonts w:cs="Arial"/>
                <w:i/>
                <w:sz w:val="22"/>
                <w:szCs w:val="22"/>
              </w:rPr>
              <w:t>Consider safety issues</w:t>
            </w:r>
          </w:p>
          <w:p w14:paraId="2DE7C136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RESPIRATORY</w:t>
            </w:r>
          </w:p>
          <w:p w14:paraId="2EEC0312" w14:textId="2F580E6F" w:rsidR="009D4ACB" w:rsidRPr="00B04679" w:rsidRDefault="009D4ACB" w:rsidP="009D4ACB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Acute exacerbation of COPD or bronchiectasis, if person at higher risk of treatment failure,</w:t>
            </w:r>
            <w:r w:rsidR="00884351" w:rsidRPr="00B0467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04679">
              <w:rPr>
                <w:rFonts w:cs="Arial"/>
                <w:bCs/>
                <w:sz w:val="22"/>
                <w:szCs w:val="22"/>
              </w:rPr>
              <w:t xml:space="preserve">use </w:t>
            </w:r>
            <w:r w:rsidR="0005043C" w:rsidRPr="00B04679">
              <w:rPr>
                <w:rFonts w:cs="Arial"/>
                <w:bCs/>
                <w:sz w:val="22"/>
                <w:szCs w:val="22"/>
              </w:rPr>
              <w:t>L</w:t>
            </w:r>
            <w:r w:rsidRPr="00B04679">
              <w:rPr>
                <w:rFonts w:cs="Arial"/>
                <w:bCs/>
                <w:sz w:val="22"/>
                <w:szCs w:val="22"/>
              </w:rPr>
              <w:t>evofloxacin with specialist advice if co-amoxiclav or co-trimoxazole cannot be used</w:t>
            </w:r>
          </w:p>
          <w:p w14:paraId="6FB4F52A" w14:textId="72E842D6" w:rsidR="00003A05" w:rsidRPr="00B04679" w:rsidRDefault="00003A05" w:rsidP="009913A7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 xml:space="preserve">Community-acquired pneumonia, high severity CRB65 3-4, </w:t>
            </w:r>
            <w:r w:rsidR="0005043C" w:rsidRPr="00B04679">
              <w:rPr>
                <w:rFonts w:cs="Arial"/>
                <w:bCs/>
                <w:sz w:val="22"/>
                <w:szCs w:val="22"/>
              </w:rPr>
              <w:t>L</w:t>
            </w:r>
            <w:r w:rsidRPr="00B04679">
              <w:rPr>
                <w:rFonts w:cs="Arial"/>
                <w:bCs/>
                <w:sz w:val="22"/>
                <w:szCs w:val="22"/>
              </w:rPr>
              <w:t>evofloxacin if co-amoxiclav with clarithromycin cannot be used</w:t>
            </w:r>
          </w:p>
          <w:p w14:paraId="091A4810" w14:textId="77777777" w:rsidR="00003A05" w:rsidRPr="00B04679" w:rsidRDefault="00003A05" w:rsidP="009913A7">
            <w:pPr>
              <w:pStyle w:val="ListParagraph"/>
              <w:rPr>
                <w:rFonts w:cs="Arial"/>
                <w:b/>
                <w:sz w:val="22"/>
                <w:szCs w:val="22"/>
              </w:rPr>
            </w:pPr>
          </w:p>
          <w:p w14:paraId="2C6DFD80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RENAL</w:t>
            </w:r>
          </w:p>
          <w:p w14:paraId="12A2F0BE" w14:textId="1A2934DE" w:rsidR="009D4ACB" w:rsidRPr="00B04679" w:rsidRDefault="009D4ACB" w:rsidP="009913A7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 xml:space="preserve">Acute prostatitis, </w:t>
            </w:r>
            <w:r w:rsidR="003B5E3A" w:rsidRPr="00B04679">
              <w:rPr>
                <w:rFonts w:cs="Arial"/>
                <w:bCs/>
                <w:sz w:val="22"/>
                <w:szCs w:val="22"/>
              </w:rPr>
              <w:t>L</w:t>
            </w:r>
            <w:r w:rsidRPr="00B04679">
              <w:rPr>
                <w:rFonts w:cs="Arial"/>
                <w:bCs/>
                <w:sz w:val="22"/>
                <w:szCs w:val="22"/>
              </w:rPr>
              <w:t>evofloxacin after discussion with a specialist.</w:t>
            </w:r>
          </w:p>
          <w:p w14:paraId="3022F32E" w14:textId="1BF928B8" w:rsidR="00121E30" w:rsidRPr="009040C0" w:rsidRDefault="009D4ACB" w:rsidP="00121E30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[First </w:t>
            </w:r>
            <w:r w:rsidR="00810BD4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choice 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Ciprofloxacin OR ofloxacin</w:t>
            </w:r>
            <w:r w:rsidR="00527A07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(considering safety issues)</w:t>
            </w:r>
          </w:p>
          <w:p w14:paraId="14A6F60F" w14:textId="230C7A65" w:rsidR="009D4ACB" w:rsidRPr="009040C0" w:rsidRDefault="009D4ACB" w:rsidP="00121E30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 trimethoprim if fluoroquinolone not appropriate</w:t>
            </w:r>
            <w:r w:rsidR="00527A07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with specialist advice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]</w:t>
            </w:r>
          </w:p>
          <w:p w14:paraId="643A68AD" w14:textId="25B3A8D7" w:rsidR="009D4ACB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</w:p>
          <w:p w14:paraId="78611512" w14:textId="48BA291A" w:rsidR="00B04679" w:rsidRPr="00B04679" w:rsidRDefault="00B04679" w:rsidP="00ED7F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GENITAL</w:t>
            </w:r>
          </w:p>
          <w:p w14:paraId="3188D989" w14:textId="11F60AE9" w:rsidR="00884351" w:rsidRPr="00B04679" w:rsidRDefault="00884351" w:rsidP="002E32F5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t>Pelvic inflammatory disease</w:t>
            </w:r>
            <w:r w:rsidR="002E32F5" w:rsidRPr="00B04679">
              <w:rPr>
                <w:rFonts w:cs="Arial"/>
                <w:b/>
                <w:sz w:val="22"/>
                <w:szCs w:val="22"/>
              </w:rPr>
              <w:t>,</w:t>
            </w:r>
            <w:r w:rsidR="002E32F5" w:rsidRPr="00B0467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B5E3A" w:rsidRPr="00B04679">
              <w:rPr>
                <w:rFonts w:cs="Arial"/>
                <w:bCs/>
                <w:sz w:val="22"/>
                <w:szCs w:val="22"/>
              </w:rPr>
              <w:t>M</w:t>
            </w:r>
            <w:r w:rsidR="002E32F5" w:rsidRPr="00B04679">
              <w:rPr>
                <w:rFonts w:cs="Arial"/>
                <w:bCs/>
                <w:sz w:val="22"/>
                <w:szCs w:val="22"/>
              </w:rPr>
              <w:t xml:space="preserve">etronidazole PLUS ofloxacin OR moxifloxacin alone. See local guidelines and </w:t>
            </w:r>
            <w:hyperlink r:id="rId13" w:history="1">
              <w:r w:rsidR="002E32F5" w:rsidRPr="00B04679">
                <w:rPr>
                  <w:rStyle w:val="Hyperlink"/>
                  <w:rFonts w:cs="Arial"/>
                  <w:bCs/>
                  <w:sz w:val="22"/>
                  <w:szCs w:val="22"/>
                </w:rPr>
                <w:t>BASHH</w:t>
              </w:r>
            </w:hyperlink>
            <w:r w:rsidR="002E32F5" w:rsidRPr="00B04679">
              <w:rPr>
                <w:rFonts w:cs="Arial"/>
                <w:bCs/>
                <w:sz w:val="22"/>
                <w:szCs w:val="22"/>
              </w:rPr>
              <w:t>.</w:t>
            </w:r>
          </w:p>
          <w:p w14:paraId="4543AAC2" w14:textId="70E75DC3" w:rsidR="002E32F5" w:rsidRPr="009040C0" w:rsidRDefault="002E32F5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</w:t>
            </w:r>
            <w:r w:rsidR="00DF2E67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IM c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eftriaxone PLUS metronidazole PLUS doxycycline]</w:t>
            </w:r>
          </w:p>
          <w:p w14:paraId="1F9FFF76" w14:textId="77777777" w:rsidR="00B5589F" w:rsidRPr="00B04679" w:rsidRDefault="00DF2E67" w:rsidP="00DF2E67">
            <w:pPr>
              <w:numPr>
                <w:ilvl w:val="0"/>
                <w:numId w:val="3"/>
              </w:num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lastRenderedPageBreak/>
              <w:t>Epididymitis</w:t>
            </w:r>
            <w:r w:rsidR="00B5589F" w:rsidRPr="00B04679">
              <w:rPr>
                <w:rFonts w:cs="Arial"/>
                <w:b/>
                <w:sz w:val="22"/>
                <w:szCs w:val="22"/>
              </w:rPr>
              <w:t xml:space="preserve">, </w:t>
            </w:r>
          </w:p>
          <w:p w14:paraId="14202FDD" w14:textId="7E8F0E95" w:rsidR="00240184" w:rsidRPr="009040C0" w:rsidRDefault="00B5589F" w:rsidP="00240184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[Ofloxacin PLUS</w:t>
            </w:r>
            <w:r w:rsidR="00DF2E67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IM ceftriaxone if </w:t>
            </w:r>
            <w:r w:rsidR="00240184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probably due to chlamydia or non-gonococcal organisms</w:t>
            </w:r>
          </w:p>
          <w:p w14:paraId="442A7F30" w14:textId="78142E08" w:rsidR="00240184" w:rsidRPr="009040C0" w:rsidRDefault="00B5589F" w:rsidP="00206F8E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 sexually transmitted and gonorrhoea and enteric organisms</w:t>
            </w:r>
          </w:p>
          <w:p w14:paraId="3936CECF" w14:textId="4F9A79CA" w:rsidR="00206F8E" w:rsidRPr="009040C0" w:rsidRDefault="00206F8E" w:rsidP="00206F8E">
            <w:pPr>
              <w:ind w:left="278"/>
              <w:contextualSpacing/>
              <w:rPr>
                <w:rFonts w:cs="Arial"/>
                <w:i/>
                <w:iCs/>
                <w:color w:val="808080"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Ofloxacin if probably due to chlamydia or non-gonococcal organisms</w:t>
            </w:r>
          </w:p>
          <w:p w14:paraId="4F7DC5C2" w14:textId="512F5DE4" w:rsidR="009D4ACB" w:rsidRPr="00B04679" w:rsidRDefault="00B5589F" w:rsidP="00B5589F">
            <w:pPr>
              <w:ind w:left="278"/>
              <w:contextualSpacing/>
              <w:rPr>
                <w:rFonts w:cs="Arial"/>
                <w:b/>
                <w:sz w:val="22"/>
                <w:szCs w:val="22"/>
              </w:rPr>
            </w:pP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OR ofloxacin OR levofloxacin if </w:t>
            </w:r>
            <w:r w:rsidR="00240184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probably 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 xml:space="preserve">due to enteric </w:t>
            </w:r>
            <w:r w:rsidR="00240184"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organisms</w:t>
            </w:r>
            <w:r w:rsidRPr="009040C0">
              <w:rPr>
                <w:rFonts w:cs="Arial"/>
                <w:i/>
                <w:iCs/>
                <w:color w:val="808080"/>
                <w:sz w:val="22"/>
                <w:szCs w:val="22"/>
              </w:rPr>
              <w:t>]</w:t>
            </w:r>
          </w:p>
        </w:tc>
      </w:tr>
      <w:tr w:rsidR="009D4ACB" w:rsidRPr="00B04679" w14:paraId="5C50613B" w14:textId="77777777" w:rsidTr="004A4121">
        <w:tc>
          <w:tcPr>
            <w:tcW w:w="2147" w:type="dxa"/>
          </w:tcPr>
          <w:p w14:paraId="6F9DF457" w14:textId="77777777" w:rsidR="009D4ACB" w:rsidRPr="00B04679" w:rsidRDefault="009D4ACB" w:rsidP="00ED7F82">
            <w:pPr>
              <w:rPr>
                <w:rFonts w:cs="Arial"/>
                <w:b/>
                <w:sz w:val="22"/>
                <w:szCs w:val="22"/>
              </w:rPr>
            </w:pPr>
            <w:r w:rsidRPr="00B04679">
              <w:rPr>
                <w:rFonts w:cs="Arial"/>
                <w:b/>
                <w:sz w:val="22"/>
                <w:szCs w:val="22"/>
              </w:rPr>
              <w:lastRenderedPageBreak/>
              <w:t>Clindamycin</w:t>
            </w:r>
          </w:p>
        </w:tc>
        <w:tc>
          <w:tcPr>
            <w:tcW w:w="4516" w:type="dxa"/>
          </w:tcPr>
          <w:p w14:paraId="19B39948" w14:textId="3306B47B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>N</w:t>
            </w:r>
            <w:r w:rsidR="00121E30" w:rsidRPr="00B04679">
              <w:rPr>
                <w:rFonts w:cs="Arial"/>
                <w:sz w:val="22"/>
                <w:szCs w:val="22"/>
              </w:rPr>
              <w:t>o</w:t>
            </w:r>
            <w:r w:rsidRPr="00B04679">
              <w:rPr>
                <w:rFonts w:cs="Arial"/>
                <w:sz w:val="22"/>
                <w:szCs w:val="22"/>
              </w:rPr>
              <w:t xml:space="preserve"> indications for oral clindamycin in 202</w:t>
            </w:r>
            <w:r w:rsidR="001203ED" w:rsidRPr="00B04679">
              <w:rPr>
                <w:rFonts w:cs="Arial"/>
                <w:sz w:val="22"/>
                <w:szCs w:val="22"/>
              </w:rPr>
              <w:t>2</w:t>
            </w:r>
            <w:r w:rsidRPr="00B04679">
              <w:rPr>
                <w:rFonts w:cs="Arial"/>
                <w:sz w:val="22"/>
                <w:szCs w:val="22"/>
              </w:rPr>
              <w:t xml:space="preserve"> NICE guidance.</w:t>
            </w:r>
          </w:p>
        </w:tc>
        <w:tc>
          <w:tcPr>
            <w:tcW w:w="4820" w:type="dxa"/>
          </w:tcPr>
          <w:p w14:paraId="1A0C1362" w14:textId="7B922FA5" w:rsidR="009D4ACB" w:rsidRPr="00B04679" w:rsidRDefault="009D4ACB" w:rsidP="00ED7F82">
            <w:pPr>
              <w:rPr>
                <w:rFonts w:cs="Arial"/>
                <w:sz w:val="22"/>
                <w:szCs w:val="22"/>
              </w:rPr>
            </w:pPr>
            <w:r w:rsidRPr="00B04679">
              <w:rPr>
                <w:rFonts w:cs="Arial"/>
                <w:sz w:val="22"/>
                <w:szCs w:val="22"/>
              </w:rPr>
              <w:t xml:space="preserve"> </w:t>
            </w:r>
            <w:r w:rsidR="001203ED" w:rsidRPr="00B04679">
              <w:rPr>
                <w:rFonts w:cs="Arial"/>
                <w:sz w:val="22"/>
                <w:szCs w:val="22"/>
              </w:rPr>
              <w:t>No indications for oral clindamycin in 2022 NICE guidance.</w:t>
            </w:r>
          </w:p>
        </w:tc>
      </w:tr>
      <w:bookmarkEnd w:id="18"/>
    </w:tbl>
    <w:p w14:paraId="3B925B14" w14:textId="60F9A80A" w:rsidR="009D4ACB" w:rsidRPr="00B04679" w:rsidRDefault="009D4ACB" w:rsidP="009D4ACB">
      <w:pPr>
        <w:rPr>
          <w:bCs/>
        </w:rPr>
      </w:pPr>
    </w:p>
    <w:p w14:paraId="2F46F62F" w14:textId="77777777" w:rsidR="0032287A" w:rsidRDefault="00B30268">
      <w:pPr>
        <w:spacing w:line="240" w:lineRule="auto"/>
        <w:sectPr w:rsidR="0032287A" w:rsidSect="004F6C49">
          <w:endnotePr>
            <w:numFmt w:val="decimal"/>
          </w:endnotePr>
          <w:pgSz w:w="11906" w:h="16838"/>
          <w:pgMar w:top="1702" w:right="1021" w:bottom="851" w:left="1021" w:header="1702" w:footer="709" w:gutter="0"/>
          <w:cols w:space="708"/>
          <w:formProt w:val="0"/>
          <w:docGrid w:linePitch="360"/>
        </w:sectPr>
      </w:pPr>
      <w:r w:rsidRPr="00B04679">
        <w:t>Abbreviations: UTI</w:t>
      </w:r>
      <w:r w:rsidR="00693CBB" w:rsidRPr="00B04679">
        <w:t xml:space="preserve"> (</w:t>
      </w:r>
      <w:r w:rsidRPr="00B04679">
        <w:t>urinary tract infection</w:t>
      </w:r>
      <w:r w:rsidR="00693CBB" w:rsidRPr="00B04679">
        <w:t>)</w:t>
      </w:r>
      <w:r w:rsidRPr="00B04679">
        <w:t xml:space="preserve">; </w:t>
      </w:r>
      <w:r w:rsidR="00EC57D8" w:rsidRPr="00B04679">
        <w:t>ENT</w:t>
      </w:r>
      <w:r w:rsidR="00693CBB" w:rsidRPr="00B04679">
        <w:t xml:space="preserve"> (</w:t>
      </w:r>
      <w:r w:rsidR="00EC57D8" w:rsidRPr="00B04679">
        <w:t xml:space="preserve">ears, </w:t>
      </w:r>
      <w:proofErr w:type="gramStart"/>
      <w:r w:rsidR="00EC57D8" w:rsidRPr="00B04679">
        <w:t>nose</w:t>
      </w:r>
      <w:proofErr w:type="gramEnd"/>
      <w:r w:rsidR="00EC57D8" w:rsidRPr="00B04679">
        <w:t xml:space="preserve"> and throat</w:t>
      </w:r>
      <w:r w:rsidR="00693CBB" w:rsidRPr="00B04679">
        <w:t>)</w:t>
      </w:r>
      <w:r w:rsidR="003E2F33" w:rsidRPr="00B04679">
        <w:t>; COPD</w:t>
      </w:r>
      <w:r w:rsidR="00693CBB" w:rsidRPr="00B04679">
        <w:t xml:space="preserve"> (</w:t>
      </w:r>
      <w:r w:rsidR="003E2F33" w:rsidRPr="00B04679">
        <w:t>chronic obstructive pulmonary disease</w:t>
      </w:r>
      <w:r w:rsidR="00693CBB" w:rsidRPr="00B04679">
        <w:t>)</w:t>
      </w:r>
      <w:r w:rsidR="005B7D8A" w:rsidRPr="00B04679">
        <w:t>; IM (intramuscular)</w:t>
      </w:r>
      <w:r w:rsidR="00693CBB" w:rsidRPr="00B04679">
        <w:t>.</w:t>
      </w:r>
      <w:r w:rsidR="00CE2D6E" w:rsidRPr="00B04679" w:rsidDel="00F61B6C">
        <w:t xml:space="preserve"> </w:t>
      </w:r>
    </w:p>
    <w:p w14:paraId="76D53F82" w14:textId="4BAB9889" w:rsidR="000F6D07" w:rsidRPr="009913A7" w:rsidRDefault="00FE0EC4" w:rsidP="009913A7">
      <w:pPr>
        <w:pStyle w:val="Heading2"/>
        <w:rPr>
          <w:b w:val="0"/>
          <w:color w:val="AF1E2C"/>
        </w:rPr>
      </w:pPr>
      <w:bookmarkStart w:id="19" w:name="_Toc59173005"/>
      <w:r w:rsidRPr="00B04679">
        <w:rPr>
          <w:color w:val="AF1E2C"/>
        </w:rPr>
        <w:t>How to use the audits</w:t>
      </w:r>
      <w:bookmarkEnd w:id="19"/>
    </w:p>
    <w:p w14:paraId="0448E8B8" w14:textId="2215CA64" w:rsidR="000F6D07" w:rsidRPr="009913A7" w:rsidRDefault="0092236A" w:rsidP="0092236A">
      <w:pPr>
        <w:rPr>
          <w:i/>
        </w:rPr>
      </w:pPr>
      <w:r w:rsidRPr="00022B70">
        <w:rPr>
          <w:b/>
        </w:rPr>
        <w:t>Step 1:</w:t>
      </w:r>
      <w:r w:rsidRPr="00B02E25">
        <w:rPr>
          <w:b/>
        </w:rPr>
        <w:t xml:space="preserve"> Familiarise yourself with th</w:t>
      </w:r>
      <w:r w:rsidRPr="00EB2D77">
        <w:rPr>
          <w:b/>
        </w:rPr>
        <w:t xml:space="preserve">e </w:t>
      </w:r>
      <w:hyperlink r:id="rId14" w:history="1">
        <w:r w:rsidRPr="00EB2D77">
          <w:rPr>
            <w:rStyle w:val="Hyperlink"/>
            <w:b/>
          </w:rPr>
          <w:t>NICE Managing Common Infection Guidance</w:t>
        </w:r>
      </w:hyperlink>
      <w:r w:rsidR="00BE7874" w:rsidRPr="00EB2D77">
        <w:rPr>
          <w:b/>
        </w:rPr>
        <w:t xml:space="preserve">, see </w:t>
      </w:r>
      <w:r w:rsidR="00BE7874" w:rsidRPr="00FB028B">
        <w:t>Table 1</w:t>
      </w:r>
      <w:r w:rsidR="00BE7874" w:rsidRPr="00EB2D77">
        <w:rPr>
          <w:b/>
        </w:rPr>
        <w:t xml:space="preserve"> above.</w:t>
      </w:r>
      <w:r w:rsidR="00BE7874">
        <w:t xml:space="preserve"> </w:t>
      </w:r>
      <w:r w:rsidRPr="00022B70">
        <w:t xml:space="preserve">Visit the </w:t>
      </w:r>
      <w:hyperlink r:id="rId15" w:history="1">
        <w:r w:rsidRPr="0092236A">
          <w:rPr>
            <w:rStyle w:val="Hyperlink"/>
          </w:rPr>
          <w:t>TARGET Antibiotics</w:t>
        </w:r>
      </w:hyperlink>
      <w:r w:rsidRPr="00022B70">
        <w:t xml:space="preserve"> or NICE </w:t>
      </w:r>
      <w:hyperlink r:id="rId16" w:history="1">
        <w:r w:rsidRPr="0092236A">
          <w:rPr>
            <w:rStyle w:val="Hyperlink"/>
          </w:rPr>
          <w:t>A</w:t>
        </w:r>
        <w:r w:rsidRPr="00B02E25">
          <w:rPr>
            <w:rStyle w:val="Hyperlink"/>
          </w:rPr>
          <w:t xml:space="preserve">ntimicrobial </w:t>
        </w:r>
        <w:r w:rsidRPr="0092236A">
          <w:rPr>
            <w:rStyle w:val="Hyperlink"/>
          </w:rPr>
          <w:t>P</w:t>
        </w:r>
        <w:r w:rsidRPr="00B02E25">
          <w:rPr>
            <w:rStyle w:val="Hyperlink"/>
          </w:rPr>
          <w:t xml:space="preserve">rescribing </w:t>
        </w:r>
        <w:r w:rsidRPr="0092236A">
          <w:rPr>
            <w:rStyle w:val="Hyperlink"/>
          </w:rPr>
          <w:t>G</w:t>
        </w:r>
        <w:r w:rsidRPr="00B02E25">
          <w:rPr>
            <w:rStyle w:val="Hyperlink"/>
          </w:rPr>
          <w:t>uidelines</w:t>
        </w:r>
      </w:hyperlink>
      <w:r w:rsidRPr="00022B70">
        <w:t xml:space="preserve"> websites for more information and the rationale behind recommendations. You may wish to use your local primary care organisation’s guidance as an alternative.</w:t>
      </w:r>
      <w:r w:rsidR="000B75CE">
        <w:t xml:space="preserve"> </w:t>
      </w:r>
    </w:p>
    <w:p w14:paraId="71CEF165" w14:textId="6E03EBAA" w:rsidR="000F6D07" w:rsidRDefault="0092236A" w:rsidP="000F6D07">
      <w:r w:rsidRPr="00022B70">
        <w:rPr>
          <w:b/>
        </w:rPr>
        <w:t xml:space="preserve">Step 2: </w:t>
      </w:r>
      <w:r w:rsidR="000F6D07" w:rsidRPr="00B02E25">
        <w:rPr>
          <w:b/>
        </w:rPr>
        <w:t xml:space="preserve">Search and identify all patients prescribed </w:t>
      </w:r>
      <w:r w:rsidR="00E07E01">
        <w:rPr>
          <w:b/>
        </w:rPr>
        <w:t xml:space="preserve">oral </w:t>
      </w:r>
      <w:r w:rsidR="00053302">
        <w:rPr>
          <w:b/>
        </w:rPr>
        <w:t>4Cs</w:t>
      </w:r>
      <w:r w:rsidR="00311591">
        <w:rPr>
          <w:b/>
        </w:rPr>
        <w:t xml:space="preserve"> antibiotics</w:t>
      </w:r>
      <w:r w:rsidR="000F6D07" w:rsidRPr="00B02E25">
        <w:rPr>
          <w:b/>
        </w:rPr>
        <w:t xml:space="preserve"> in the 4 weeks prior to the search date.</w:t>
      </w:r>
      <w:r w:rsidR="000F6D07" w:rsidRPr="00022B70">
        <w:t xml:space="preserve"> </w:t>
      </w:r>
      <w:r w:rsidR="009373E7" w:rsidRPr="00FB028B">
        <w:rPr>
          <w:bCs/>
        </w:rPr>
        <w:t>Document the number of courses issued for each antibiotic</w:t>
      </w:r>
      <w:r w:rsidR="009373E7" w:rsidRPr="00FB028B">
        <w:t>.</w:t>
      </w:r>
      <w:r w:rsidR="009373E7" w:rsidRPr="00022B70">
        <w:t xml:space="preserve"> </w:t>
      </w:r>
      <w:r w:rsidR="000F6D07" w:rsidRPr="00022B70">
        <w:t>Save the search for reference</w:t>
      </w:r>
      <w:r w:rsidR="00053302">
        <w:t>.</w:t>
      </w:r>
      <w:r w:rsidR="000F6D07" w:rsidRPr="00022B70">
        <w:t xml:space="preserve"> </w:t>
      </w:r>
      <w:r w:rsidR="00053302">
        <w:t>C</w:t>
      </w:r>
      <w:r w:rsidR="000F6D07" w:rsidRPr="00022B70">
        <w:t xml:space="preserve">onsider setting </w:t>
      </w:r>
      <w:r w:rsidR="00053302">
        <w:t xml:space="preserve">audit </w:t>
      </w:r>
      <w:r w:rsidR="000F6D07" w:rsidRPr="00022B70">
        <w:t>to run automatically every 4 weeks</w:t>
      </w:r>
      <w:r w:rsidR="00053302">
        <w:t xml:space="preserve"> so</w:t>
      </w:r>
      <w:r w:rsidR="000F6D07" w:rsidRPr="00022B70">
        <w:t xml:space="preserve"> prescribing lead </w:t>
      </w:r>
      <w:r w:rsidR="00053302">
        <w:t>can</w:t>
      </w:r>
      <w:r w:rsidR="000F6D07" w:rsidRPr="00022B70">
        <w:t xml:space="preserve"> report back to the whole practice about their ongoing </w:t>
      </w:r>
      <w:r w:rsidR="000F6D07">
        <w:t>“</w:t>
      </w:r>
      <w:r w:rsidR="000F6D07" w:rsidRPr="00022B70">
        <w:t>4C</w:t>
      </w:r>
      <w:r w:rsidR="000F6D07">
        <w:t>”</w:t>
      </w:r>
      <w:r w:rsidR="000F6D07" w:rsidRPr="00022B70">
        <w:t xml:space="preserve"> prescribing</w:t>
      </w:r>
      <w:r w:rsidR="000F6D07">
        <w:t>.</w:t>
      </w:r>
      <w:r w:rsidR="000F6D07" w:rsidRPr="00022B70">
        <w:t xml:space="preserve"> </w:t>
      </w:r>
    </w:p>
    <w:p w14:paraId="1154F31D" w14:textId="2774D8F6" w:rsidR="000F6D07" w:rsidRDefault="000F6D07" w:rsidP="000F6D07">
      <w:r w:rsidRPr="00B02E25">
        <w:rPr>
          <w:b/>
        </w:rPr>
        <w:t>Step 3:</w:t>
      </w:r>
      <w:r w:rsidR="00BD58C2">
        <w:rPr>
          <w:b/>
        </w:rPr>
        <w:t xml:space="preserve"> </w:t>
      </w:r>
      <w:r w:rsidR="00924F78">
        <w:rPr>
          <w:b/>
        </w:rPr>
        <w:t xml:space="preserve">Ideally audit </w:t>
      </w:r>
      <w:r w:rsidR="00924F78" w:rsidRPr="002F5EFC">
        <w:rPr>
          <w:b/>
          <w:i/>
          <w:iCs/>
        </w:rPr>
        <w:t>all</w:t>
      </w:r>
      <w:r w:rsidR="00924F78" w:rsidRPr="002F5EFC">
        <w:rPr>
          <w:b/>
        </w:rPr>
        <w:t xml:space="preserve"> </w:t>
      </w:r>
      <w:r w:rsidR="00924F78">
        <w:rPr>
          <w:b/>
        </w:rPr>
        <w:t>people identified by the search</w:t>
      </w:r>
      <w:r w:rsidR="00924F78" w:rsidRPr="008A204A">
        <w:rPr>
          <w:b/>
        </w:rPr>
        <w:t>.</w:t>
      </w:r>
      <w:r w:rsidRPr="00B02E25">
        <w:rPr>
          <w:b/>
        </w:rPr>
        <w:t xml:space="preserve"> </w:t>
      </w:r>
      <w:r w:rsidR="00E0755C" w:rsidRPr="00022B70">
        <w:t xml:space="preserve">If </w:t>
      </w:r>
      <w:r w:rsidR="00924F78">
        <w:t>large number</w:t>
      </w:r>
      <w:r w:rsidR="00CE0E5B">
        <w:t>s</w:t>
      </w:r>
      <w:r w:rsidR="00924F78">
        <w:t xml:space="preserve"> of patients</w:t>
      </w:r>
      <w:r w:rsidR="00E0755C" w:rsidRPr="00022B70">
        <w:t xml:space="preserve">, </w:t>
      </w:r>
      <w:r w:rsidR="00CE0E5B">
        <w:t>e</w:t>
      </w:r>
      <w:r w:rsidR="00E0755C" w:rsidRPr="00880B7D">
        <w:t xml:space="preserve">nsure a minimum of 10 </w:t>
      </w:r>
      <w:r w:rsidR="002436D6" w:rsidRPr="00880B7D">
        <w:t>prescriptions</w:t>
      </w:r>
      <w:r w:rsidR="00E0755C" w:rsidRPr="00880B7D">
        <w:t xml:space="preserve"> (all if &lt;10</w:t>
      </w:r>
      <w:r w:rsidR="002436D6" w:rsidRPr="00880B7D">
        <w:t xml:space="preserve"> prescriptions</w:t>
      </w:r>
      <w:r w:rsidR="00E0755C" w:rsidRPr="00880B7D">
        <w:t xml:space="preserve">) from each </w:t>
      </w:r>
      <w:r w:rsidR="00053302" w:rsidRPr="00880B7D">
        <w:t>4Cs</w:t>
      </w:r>
      <w:r w:rsidR="00E0755C" w:rsidRPr="00880B7D">
        <w:t xml:space="preserve"> group.</w:t>
      </w:r>
      <w:r w:rsidR="009D4ACB">
        <w:t xml:space="preserve"> </w:t>
      </w:r>
      <w:r w:rsidRPr="00072784">
        <w:t>You may not get any results for clindamycin.</w:t>
      </w:r>
    </w:p>
    <w:p w14:paraId="2678E29B" w14:textId="2DFE124C" w:rsidR="00E63546" w:rsidRPr="009913A7" w:rsidRDefault="000F6D07" w:rsidP="000F6D07">
      <w:r w:rsidRPr="00022B70">
        <w:rPr>
          <w:b/>
        </w:rPr>
        <w:t xml:space="preserve">Step 4: </w:t>
      </w:r>
      <w:r w:rsidRPr="00B02E25">
        <w:rPr>
          <w:b/>
        </w:rPr>
        <w:t>Complete the data collection table</w:t>
      </w:r>
      <w:r w:rsidR="00975B80">
        <w:rPr>
          <w:b/>
        </w:rPr>
        <w:t xml:space="preserve"> </w:t>
      </w:r>
      <w:r w:rsidR="003863A6">
        <w:rPr>
          <w:b/>
        </w:rPr>
        <w:t>(Table 3)</w:t>
      </w:r>
      <w:r w:rsidRPr="00B02E25">
        <w:rPr>
          <w:b/>
        </w:rPr>
        <w:t xml:space="preserve"> for each selected patient. </w:t>
      </w:r>
      <w:r w:rsidRPr="00022B70">
        <w:t xml:space="preserve">When completing the </w:t>
      </w:r>
      <w:r w:rsidRPr="00E63546">
        <w:t>table</w:t>
      </w:r>
      <w:r w:rsidR="00E63546" w:rsidRPr="00E63546">
        <w:rPr>
          <w:rFonts w:cs="Arial"/>
        </w:rPr>
        <w:t xml:space="preserve"> use the numbers 1 and 0 where yes=1, no=0</w:t>
      </w:r>
      <w:r w:rsidR="00E63546">
        <w:t>. I</w:t>
      </w:r>
      <w:r w:rsidRPr="00022B70">
        <w:t xml:space="preserve">t may be easier to complete compliance for each </w:t>
      </w:r>
      <w:r>
        <w:t>“</w:t>
      </w:r>
      <w:r w:rsidRPr="00022B70">
        <w:t>4C</w:t>
      </w:r>
      <w:r>
        <w:t>”</w:t>
      </w:r>
      <w:r w:rsidR="00E63546">
        <w:t xml:space="preserve"> antibiotic in turn</w:t>
      </w:r>
      <w:r w:rsidRPr="00022B70">
        <w:t xml:space="preserve"> as each has different indications.</w:t>
      </w:r>
    </w:p>
    <w:p w14:paraId="5E14EFCD" w14:textId="0710B9BE" w:rsidR="00864AB4" w:rsidRDefault="000F6D07" w:rsidP="000F6D07">
      <w:r w:rsidRPr="00022B70">
        <w:rPr>
          <w:b/>
        </w:rPr>
        <w:t xml:space="preserve">Step </w:t>
      </w:r>
      <w:r>
        <w:rPr>
          <w:b/>
        </w:rPr>
        <w:t>5:</w:t>
      </w:r>
      <w:r w:rsidRPr="00B02E25">
        <w:rPr>
          <w:b/>
        </w:rPr>
        <w:t xml:space="preserve"> Assess prescribing against the guidance.</w:t>
      </w:r>
      <w:r w:rsidRPr="00022B70">
        <w:t xml:space="preserve"> If first choice</w:t>
      </w:r>
      <w:r w:rsidR="00810BD4">
        <w:t xml:space="preserve"> antibiotic</w:t>
      </w:r>
      <w:r w:rsidRPr="00022B70">
        <w:t xml:space="preserve"> is not used, clear rationale must be outlined in the data collection table</w:t>
      </w:r>
      <w:r w:rsidR="00924F78" w:rsidRPr="00924F78">
        <w:t xml:space="preserve"> </w:t>
      </w:r>
      <w:r w:rsidR="00E63546">
        <w:t>to</w:t>
      </w:r>
      <w:r w:rsidR="00924F78">
        <w:t xml:space="preserve"> support reflection. </w:t>
      </w:r>
    </w:p>
    <w:p w14:paraId="644060F7" w14:textId="648130B1" w:rsidR="000F6D07" w:rsidRPr="00072784" w:rsidRDefault="000F6D07" w:rsidP="00B02E25">
      <w:r w:rsidRPr="00B02E25">
        <w:rPr>
          <w:b/>
        </w:rPr>
        <w:t xml:space="preserve">Step </w:t>
      </w:r>
      <w:r w:rsidR="00FE2CFD">
        <w:rPr>
          <w:b/>
        </w:rPr>
        <w:t>6</w:t>
      </w:r>
      <w:r w:rsidRPr="00B02E25">
        <w:rPr>
          <w:b/>
        </w:rPr>
        <w:t>:</w:t>
      </w:r>
      <w:r>
        <w:t xml:space="preserve"> </w:t>
      </w:r>
      <w:r w:rsidRPr="00AA019D">
        <w:rPr>
          <w:rFonts w:cs="Arial"/>
        </w:rPr>
        <w:t xml:space="preserve">Complete the </w:t>
      </w:r>
      <w:r w:rsidR="00FB7522" w:rsidRPr="00FB7522">
        <w:rPr>
          <w:rFonts w:cs="Arial"/>
        </w:rPr>
        <w:t>‘Conclusions and Reflection’</w:t>
      </w:r>
      <w:r w:rsidRPr="00AA019D">
        <w:rPr>
          <w:rFonts w:cs="Arial"/>
        </w:rPr>
        <w:t xml:space="preserve"> section of the audit to help identify action required going forward.</w:t>
      </w:r>
      <w:r w:rsidR="00FE2CFD">
        <w:rPr>
          <w:rFonts w:cs="Arial"/>
        </w:rPr>
        <w:t xml:space="preserve"> </w:t>
      </w:r>
    </w:p>
    <w:p w14:paraId="5250E177" w14:textId="4803C0E4" w:rsidR="00053302" w:rsidRPr="00075A21" w:rsidRDefault="00053302" w:rsidP="00053302">
      <w:pPr>
        <w:pStyle w:val="Heading2"/>
        <w:rPr>
          <w:color w:val="AF1E2C"/>
        </w:rPr>
      </w:pPr>
      <w:bookmarkStart w:id="20" w:name="_Toc59173006"/>
      <w:r w:rsidRPr="00075A21">
        <w:rPr>
          <w:color w:val="AF1E2C"/>
        </w:rPr>
        <w:t>Conclusions and reflection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053302" w:rsidRPr="00D25E51" w14:paraId="48E8D62F" w14:textId="77777777" w:rsidTr="00031633">
        <w:tc>
          <w:tcPr>
            <w:tcW w:w="2263" w:type="dxa"/>
            <w:shd w:val="clear" w:color="auto" w:fill="D9D9D9" w:themeFill="background1" w:themeFillShade="D9"/>
          </w:tcPr>
          <w:p w14:paraId="3C5C22BA" w14:textId="77777777" w:rsidR="00053302" w:rsidRPr="009913A7" w:rsidRDefault="00053302" w:rsidP="00031633">
            <w:pPr>
              <w:spacing w:line="240" w:lineRule="auto"/>
              <w:rPr>
                <w:b/>
                <w:sz w:val="22"/>
                <w:szCs w:val="22"/>
              </w:rPr>
            </w:pPr>
            <w:r w:rsidRPr="009913A7">
              <w:rPr>
                <w:b/>
                <w:sz w:val="22"/>
                <w:szCs w:val="22"/>
              </w:rPr>
              <w:t>Date of search:</w:t>
            </w:r>
          </w:p>
        </w:tc>
        <w:tc>
          <w:tcPr>
            <w:tcW w:w="7088" w:type="dxa"/>
          </w:tcPr>
          <w:p w14:paraId="35AD0014" w14:textId="77777777" w:rsidR="00053302" w:rsidRPr="009913A7" w:rsidRDefault="00053302" w:rsidP="0003163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53302" w:rsidRPr="00D25E51" w14:paraId="60F75938" w14:textId="77777777" w:rsidTr="00031633">
        <w:tc>
          <w:tcPr>
            <w:tcW w:w="2263" w:type="dxa"/>
            <w:shd w:val="clear" w:color="auto" w:fill="D9D9D9" w:themeFill="background1" w:themeFillShade="D9"/>
          </w:tcPr>
          <w:p w14:paraId="276D9787" w14:textId="77777777" w:rsidR="00053302" w:rsidRPr="009913A7" w:rsidRDefault="00053302" w:rsidP="00031633">
            <w:pPr>
              <w:spacing w:line="240" w:lineRule="auto"/>
              <w:rPr>
                <w:b/>
                <w:sz w:val="22"/>
                <w:szCs w:val="22"/>
              </w:rPr>
            </w:pPr>
            <w:r w:rsidRPr="009913A7">
              <w:rPr>
                <w:b/>
                <w:sz w:val="22"/>
                <w:szCs w:val="22"/>
              </w:rPr>
              <w:t>Practice size:</w:t>
            </w:r>
          </w:p>
        </w:tc>
        <w:tc>
          <w:tcPr>
            <w:tcW w:w="7088" w:type="dxa"/>
          </w:tcPr>
          <w:p w14:paraId="325AD057" w14:textId="77777777" w:rsidR="00053302" w:rsidRPr="009913A7" w:rsidRDefault="00053302" w:rsidP="00031633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0C269B5A" w14:textId="77777777" w:rsidR="00053302" w:rsidRPr="00072784" w:rsidRDefault="00053302" w:rsidP="00053302">
      <w:r>
        <w:t>Use these questions to reflect upon your own and your practice’s antimicrobial prescribing.</w:t>
      </w:r>
    </w:p>
    <w:p w14:paraId="70C27AB5" w14:textId="77777777" w:rsidR="00E63546" w:rsidRDefault="00E63546" w:rsidP="00053302">
      <w:pPr>
        <w:spacing w:line="240" w:lineRule="auto"/>
      </w:pPr>
    </w:p>
    <w:p w14:paraId="27A37E9C" w14:textId="77777777" w:rsidR="0032287A" w:rsidRDefault="0032287A">
      <w:pPr>
        <w:spacing w:line="240" w:lineRule="auto"/>
        <w:rPr>
          <w:b/>
        </w:rPr>
      </w:pPr>
      <w:r>
        <w:rPr>
          <w:b/>
        </w:rPr>
        <w:br w:type="page"/>
      </w:r>
    </w:p>
    <w:p w14:paraId="5A1E7A46" w14:textId="30B194BA" w:rsidR="004F6C49" w:rsidRPr="004F6C49" w:rsidRDefault="003863A6" w:rsidP="00C16062">
      <w:pPr>
        <w:spacing w:line="240" w:lineRule="auto"/>
        <w:rPr>
          <w:bCs/>
          <w:sz w:val="20"/>
          <w:szCs w:val="20"/>
        </w:rPr>
      </w:pPr>
      <w:r>
        <w:rPr>
          <w:b/>
        </w:rPr>
        <w:t xml:space="preserve">Table 2. </w:t>
      </w:r>
      <w:r w:rsidR="00053302" w:rsidRPr="00072784">
        <w:rPr>
          <w:b/>
        </w:rPr>
        <w:t>4C prescribing and compliance with NICE guidanc</w:t>
      </w:r>
      <w:r w:rsidR="00053302">
        <w:rPr>
          <w:b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339"/>
        <w:gridCol w:w="1412"/>
        <w:gridCol w:w="1263"/>
        <w:gridCol w:w="339"/>
        <w:gridCol w:w="1412"/>
        <w:gridCol w:w="1263"/>
        <w:gridCol w:w="339"/>
        <w:gridCol w:w="1412"/>
        <w:gridCol w:w="1263"/>
        <w:gridCol w:w="339"/>
        <w:gridCol w:w="1412"/>
        <w:gridCol w:w="1263"/>
      </w:tblGrid>
      <w:tr w:rsidR="004F6C49" w:rsidRPr="00C16062" w14:paraId="3EB93D7D" w14:textId="3C7DE2A0" w:rsidTr="0032287A">
        <w:tc>
          <w:tcPr>
            <w:tcW w:w="0" w:type="auto"/>
            <w:shd w:val="clear" w:color="auto" w:fill="D9D9D9" w:themeFill="background1" w:themeFillShade="D9"/>
          </w:tcPr>
          <w:p w14:paraId="38DDDE8A" w14:textId="6677DB7E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During the “4C” audit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08C85530" w14:textId="2181FE15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Co-amoxiclav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2D56C9E" w14:textId="69B34134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Cephalosporins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12760CB" w14:textId="78F26377" w:rsidR="00C16062" w:rsidRPr="00AE2255" w:rsidRDefault="00C16062" w:rsidP="00C1606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Fluoroquinolones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46BEAF8" w14:textId="054F2328" w:rsidR="00C16062" w:rsidRPr="00AE2255" w:rsidRDefault="00C16062" w:rsidP="00C1606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Clindamycin</w:t>
            </w:r>
          </w:p>
        </w:tc>
      </w:tr>
      <w:tr w:rsidR="0032287A" w:rsidRPr="00C16062" w14:paraId="47C24A2E" w14:textId="7B21F392" w:rsidTr="0032287A">
        <w:tc>
          <w:tcPr>
            <w:tcW w:w="0" w:type="auto"/>
            <w:shd w:val="clear" w:color="auto" w:fill="D9D9D9" w:themeFill="background1" w:themeFillShade="D9"/>
          </w:tcPr>
          <w:p w14:paraId="6378BF5F" w14:textId="77777777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A528CFC" w14:textId="1A365087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F7617C" w14:textId="61F702C3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AE2255">
              <w:rPr>
                <w:b/>
                <w:sz w:val="20"/>
                <w:szCs w:val="20"/>
              </w:rPr>
              <w:t>of</w:t>
            </w:r>
            <w:proofErr w:type="gramEnd"/>
            <w:r w:rsidRPr="00AE2255">
              <w:rPr>
                <w:b/>
                <w:sz w:val="20"/>
                <w:szCs w:val="20"/>
              </w:rPr>
              <w:t xml:space="preserve"> total prescribed 4Cs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63A5E5" w14:textId="29CC4F47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Your % target </w:t>
            </w:r>
            <w:r w:rsidR="004F6C49">
              <w:rPr>
                <w:b/>
                <w:sz w:val="20"/>
                <w:szCs w:val="20"/>
              </w:rPr>
              <w:t>for good practice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DFFF7C" w14:textId="5718D505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5901D9" w14:textId="6EB0FCFA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AE2255">
              <w:rPr>
                <w:b/>
                <w:sz w:val="20"/>
                <w:szCs w:val="20"/>
              </w:rPr>
              <w:t>of</w:t>
            </w:r>
            <w:proofErr w:type="gramEnd"/>
            <w:r w:rsidRPr="00AE2255">
              <w:rPr>
                <w:b/>
                <w:sz w:val="20"/>
                <w:szCs w:val="20"/>
              </w:rPr>
              <w:t xml:space="preserve"> total prescribed 4Cs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A8DED1" w14:textId="30961A37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Your % target </w:t>
            </w:r>
            <w:r w:rsidR="004F6C49">
              <w:rPr>
                <w:b/>
                <w:sz w:val="20"/>
                <w:szCs w:val="20"/>
              </w:rPr>
              <w:t>for good practice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78AA82" w14:textId="4E301ECF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31E1A5" w14:textId="271AC8B6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AE2255">
              <w:rPr>
                <w:b/>
                <w:sz w:val="20"/>
                <w:szCs w:val="20"/>
              </w:rPr>
              <w:t>of</w:t>
            </w:r>
            <w:proofErr w:type="gramEnd"/>
            <w:r w:rsidRPr="00AE2255">
              <w:rPr>
                <w:b/>
                <w:sz w:val="20"/>
                <w:szCs w:val="20"/>
              </w:rPr>
              <w:t xml:space="preserve"> total prescribed 4Cs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AA350F" w14:textId="6D7D6F4A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Your % target</w:t>
            </w:r>
            <w:r w:rsidR="004F6C49">
              <w:rPr>
                <w:b/>
                <w:sz w:val="20"/>
                <w:szCs w:val="20"/>
              </w:rPr>
              <w:t xml:space="preserve"> for good practice</w:t>
            </w:r>
            <w:r w:rsidRPr="00AE22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D7C8F4" w14:textId="22B32DCB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36C3B8" w14:textId="4EF08675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AE2255">
              <w:rPr>
                <w:b/>
                <w:sz w:val="20"/>
                <w:szCs w:val="20"/>
              </w:rPr>
              <w:t>of</w:t>
            </w:r>
            <w:proofErr w:type="gramEnd"/>
            <w:r w:rsidRPr="00AE2255">
              <w:rPr>
                <w:b/>
                <w:sz w:val="20"/>
                <w:szCs w:val="20"/>
              </w:rPr>
              <w:t xml:space="preserve"> total prescribed 4Cs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8A332E" w14:textId="68C3AA15" w:rsidR="00C16062" w:rsidRPr="00AE2255" w:rsidRDefault="00C16062" w:rsidP="00C16062">
            <w:pPr>
              <w:spacing w:line="240" w:lineRule="auto"/>
              <w:rPr>
                <w:b/>
                <w:sz w:val="20"/>
                <w:szCs w:val="20"/>
              </w:rPr>
            </w:pPr>
            <w:r w:rsidRPr="00AE2255">
              <w:rPr>
                <w:b/>
                <w:sz w:val="20"/>
                <w:szCs w:val="20"/>
              </w:rPr>
              <w:t>Your % target</w:t>
            </w:r>
            <w:r w:rsidR="004F6C49">
              <w:rPr>
                <w:b/>
                <w:sz w:val="20"/>
                <w:szCs w:val="20"/>
              </w:rPr>
              <w:t xml:space="preserve"> for good practice</w:t>
            </w:r>
            <w:r w:rsidRPr="00AE225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287A" w:rsidRPr="00C16062" w14:paraId="6B0292B4" w14:textId="30DA5164" w:rsidTr="0032287A">
        <w:tc>
          <w:tcPr>
            <w:tcW w:w="0" w:type="auto"/>
          </w:tcPr>
          <w:p w14:paraId="03A4965D" w14:textId="2DA546E2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  <w:r w:rsidRPr="00C16062">
              <w:rPr>
                <w:bCs/>
                <w:sz w:val="20"/>
                <w:szCs w:val="20"/>
              </w:rPr>
              <w:t>How many courses were issued?</w:t>
            </w:r>
          </w:p>
        </w:tc>
        <w:tc>
          <w:tcPr>
            <w:tcW w:w="0" w:type="auto"/>
          </w:tcPr>
          <w:p w14:paraId="5C29247B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697374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57EEAC7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101B2A0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92E9844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B943103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F28FE6D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2B5A099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DED0F1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9398902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7A301FE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712F76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32287A" w:rsidRPr="00C16062" w14:paraId="6B23EBB4" w14:textId="0B369C4F" w:rsidTr="0032287A">
        <w:tc>
          <w:tcPr>
            <w:tcW w:w="0" w:type="auto"/>
          </w:tcPr>
          <w:p w14:paraId="5CC2E578" w14:textId="2F128C4F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  <w:r w:rsidRPr="00C16062">
              <w:rPr>
                <w:bCs/>
                <w:sz w:val="20"/>
                <w:szCs w:val="20"/>
              </w:rPr>
              <w:t>What was the proportion of 4C prescriptions with an appropriate code in the clinical record?</w:t>
            </w:r>
          </w:p>
        </w:tc>
        <w:tc>
          <w:tcPr>
            <w:tcW w:w="0" w:type="auto"/>
          </w:tcPr>
          <w:p w14:paraId="3BEA23F5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0722F0B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78385F2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BB683A8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3E5AFB4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D9266FB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48575CF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F05831A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8374C8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EB186F1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D14029A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9173F64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32287A" w:rsidRPr="00C16062" w14:paraId="77932C1E" w14:textId="1BE7BE1D" w:rsidTr="0032287A">
        <w:tc>
          <w:tcPr>
            <w:tcW w:w="0" w:type="auto"/>
          </w:tcPr>
          <w:p w14:paraId="5C164A6E" w14:textId="20BA0D4D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  <w:r w:rsidRPr="00C16062">
              <w:rPr>
                <w:bCs/>
                <w:sz w:val="20"/>
                <w:szCs w:val="20"/>
              </w:rPr>
              <w:t>Proportion of 4Cs use in line with NICE guidance?</w:t>
            </w:r>
          </w:p>
        </w:tc>
        <w:tc>
          <w:tcPr>
            <w:tcW w:w="0" w:type="auto"/>
          </w:tcPr>
          <w:p w14:paraId="5E32497B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A39E6A0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A515407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116A76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02DE324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B6FD7B6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B32FDD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1402DD2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62A8092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27B4F0A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2D25000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4752FC2" w14:textId="77777777" w:rsidR="00C16062" w:rsidRPr="00C16062" w:rsidRDefault="00C16062" w:rsidP="00C16062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12CBF861" w14:textId="36046F77" w:rsidR="00C16062" w:rsidRPr="00C16062" w:rsidRDefault="00C16062" w:rsidP="00C16062">
      <w:pPr>
        <w:spacing w:line="240" w:lineRule="auto"/>
        <w:rPr>
          <w:bCs/>
        </w:rPr>
      </w:pPr>
    </w:p>
    <w:p w14:paraId="6334F3FB" w14:textId="77777777" w:rsidR="00C16062" w:rsidRDefault="00C16062" w:rsidP="00C16062">
      <w:pPr>
        <w:spacing w:line="240" w:lineRule="auto"/>
        <w:rPr>
          <w:b/>
        </w:rPr>
      </w:pPr>
    </w:p>
    <w:p w14:paraId="04BFAF9E" w14:textId="48EA721B" w:rsidR="00053302" w:rsidRPr="00D37991" w:rsidRDefault="00053302" w:rsidP="00053302">
      <w:pPr>
        <w:rPr>
          <w:b/>
        </w:rPr>
      </w:pPr>
      <w:r>
        <w:rPr>
          <w:b/>
        </w:rPr>
        <w:t xml:space="preserve">Reflection / discussion with practice or Primary Care network </w:t>
      </w:r>
    </w:p>
    <w:p w14:paraId="48C0FE4A" w14:textId="77777777" w:rsidR="00053302" w:rsidRPr="003351E6" w:rsidRDefault="00053302" w:rsidP="00E63546">
      <w:pPr>
        <w:pStyle w:val="ListParagraph"/>
        <w:numPr>
          <w:ilvl w:val="0"/>
          <w:numId w:val="34"/>
        </w:numPr>
      </w:pPr>
      <w:r w:rsidRPr="00072784">
        <w:t>Wha</w:t>
      </w:r>
      <w:r w:rsidRPr="003351E6">
        <w:t>t are the criteria</w:t>
      </w:r>
      <w:r>
        <w:t xml:space="preserve"> that you perform best in</w:t>
      </w:r>
      <w:r w:rsidRPr="003351E6">
        <w:t xml:space="preserve">? </w:t>
      </w:r>
    </w:p>
    <w:p w14:paraId="2D4F78DD" w14:textId="4DECDE76" w:rsidR="00053302" w:rsidRPr="00072784" w:rsidRDefault="00053302" w:rsidP="002513D5">
      <w:pPr>
        <w:pStyle w:val="ListParagraph"/>
        <w:numPr>
          <w:ilvl w:val="0"/>
          <w:numId w:val="34"/>
        </w:numPr>
      </w:pPr>
      <w:r w:rsidRPr="00072784">
        <w:t xml:space="preserve">What are </w:t>
      </w:r>
      <w:r w:rsidR="00FB028B">
        <w:t xml:space="preserve">the </w:t>
      </w:r>
      <w:r w:rsidRPr="00072784">
        <w:t>criteria that need discussion? Identify an area to focus on and create an action plan, consider:</w:t>
      </w:r>
    </w:p>
    <w:p w14:paraId="5CDC8F60" w14:textId="1957175A" w:rsidR="00053302" w:rsidRPr="003351E6" w:rsidRDefault="006D1675" w:rsidP="00053302">
      <w:pPr>
        <w:pStyle w:val="ListParagraph"/>
        <w:numPr>
          <w:ilvl w:val="0"/>
          <w:numId w:val="8"/>
        </w:numPr>
      </w:pPr>
      <w:r>
        <w:t>w</w:t>
      </w:r>
      <w:r w:rsidR="00053302" w:rsidRPr="00072784">
        <w:t xml:space="preserve">here you think you may be able to improve your </w:t>
      </w:r>
      <w:r w:rsidR="00053302">
        <w:t>4Cs</w:t>
      </w:r>
      <w:r w:rsidR="00053302" w:rsidRPr="00072784">
        <w:t xml:space="preserve"> prescribing even further?</w:t>
      </w:r>
    </w:p>
    <w:p w14:paraId="14752E98" w14:textId="3D279DC1" w:rsidR="00053302" w:rsidRDefault="006D1675" w:rsidP="00053302">
      <w:pPr>
        <w:pStyle w:val="ListParagraph"/>
        <w:numPr>
          <w:ilvl w:val="0"/>
          <w:numId w:val="8"/>
        </w:numPr>
      </w:pPr>
      <w:r>
        <w:t xml:space="preserve">has </w:t>
      </w:r>
      <w:r w:rsidR="00053302">
        <w:t xml:space="preserve">your practice responded to the MHRA safety alert to use less </w:t>
      </w:r>
      <w:r w:rsidR="00304438">
        <w:t>fluoro</w:t>
      </w:r>
      <w:r w:rsidR="00053302">
        <w:t xml:space="preserve">quinolones? </w:t>
      </w:r>
    </w:p>
    <w:p w14:paraId="6E893317" w14:textId="63DF05BE" w:rsidR="00053302" w:rsidRDefault="00053302" w:rsidP="00053302">
      <w:pPr>
        <w:pStyle w:val="ListParagraph"/>
        <w:numPr>
          <w:ilvl w:val="0"/>
          <w:numId w:val="8"/>
        </w:numPr>
      </w:pPr>
      <w:r w:rsidRPr="003351E6">
        <w:t>alternative</w:t>
      </w:r>
      <w:r>
        <w:t>s to</w:t>
      </w:r>
      <w:r w:rsidRPr="003351E6">
        <w:t xml:space="preserve"> </w:t>
      </w:r>
      <w:r>
        <w:t>ciprofloxacin/</w:t>
      </w:r>
      <w:r w:rsidRPr="003351E6">
        <w:t>quinolones particularly in patients 70</w:t>
      </w:r>
      <w:r>
        <w:t xml:space="preserve"> +</w:t>
      </w:r>
      <w:r w:rsidRPr="003351E6">
        <w:t xml:space="preserve"> years</w:t>
      </w:r>
      <w:r>
        <w:t>:</w:t>
      </w:r>
      <w:r w:rsidRPr="003351E6">
        <w:t xml:space="preserve"> </w:t>
      </w:r>
    </w:p>
    <w:p w14:paraId="2079EA33" w14:textId="6C24ED89" w:rsidR="00053302" w:rsidRDefault="006D1675" w:rsidP="00FB028B">
      <w:pPr>
        <w:pStyle w:val="ListParagraph"/>
        <w:numPr>
          <w:ilvl w:val="0"/>
          <w:numId w:val="38"/>
        </w:numPr>
        <w:ind w:left="993"/>
      </w:pPr>
      <w:r>
        <w:t xml:space="preserve">catheter </w:t>
      </w:r>
      <w:r w:rsidR="00053302" w:rsidRPr="00072784">
        <w:t xml:space="preserve">UTI: First choice cefalexin, </w:t>
      </w:r>
      <w:r w:rsidR="00053302">
        <w:t>or</w:t>
      </w:r>
      <w:r w:rsidR="00053302" w:rsidRPr="00072784">
        <w:t xml:space="preserve"> </w:t>
      </w:r>
      <w:r w:rsidR="00053302">
        <w:t>if susceptible</w:t>
      </w:r>
      <w:r w:rsidR="00053302" w:rsidRPr="00072784">
        <w:t xml:space="preserve"> trimethoprim </w:t>
      </w:r>
      <w:r w:rsidR="00053302">
        <w:t xml:space="preserve">or co-amoxiclav. </w:t>
      </w:r>
    </w:p>
    <w:p w14:paraId="001A6F49" w14:textId="5FB985FF" w:rsidR="00053302" w:rsidRPr="00072784" w:rsidRDefault="006D1675" w:rsidP="00FB028B">
      <w:pPr>
        <w:pStyle w:val="ListParagraph"/>
        <w:numPr>
          <w:ilvl w:val="0"/>
          <w:numId w:val="38"/>
        </w:numPr>
        <w:ind w:left="993"/>
      </w:pPr>
      <w:r>
        <w:t>e</w:t>
      </w:r>
      <w:r w:rsidRPr="00072784">
        <w:t>pididymitis</w:t>
      </w:r>
      <w:r w:rsidR="00053302" w:rsidRPr="00072784">
        <w:t>: first choice doxycycline, ofloxacin</w:t>
      </w:r>
    </w:p>
    <w:p w14:paraId="112C054F" w14:textId="6B5670C2" w:rsidR="00053302" w:rsidRPr="00072784" w:rsidRDefault="006D1675" w:rsidP="00053302">
      <w:pPr>
        <w:pStyle w:val="ListParagraph"/>
        <w:numPr>
          <w:ilvl w:val="0"/>
          <w:numId w:val="8"/>
        </w:numPr>
      </w:pPr>
      <w:r>
        <w:t>w</w:t>
      </w:r>
      <w:r w:rsidR="00053302">
        <w:t xml:space="preserve">hich </w:t>
      </w:r>
      <w:r w:rsidR="00053302" w:rsidRPr="00072784">
        <w:t>mild</w:t>
      </w:r>
      <w:r w:rsidR="00053302">
        <w:t>er</w:t>
      </w:r>
      <w:r w:rsidR="00053302" w:rsidRPr="00072784">
        <w:t xml:space="preserve"> infection</w:t>
      </w:r>
      <w:r w:rsidR="00053302">
        <w:t>s</w:t>
      </w:r>
      <w:r w:rsidR="00053302" w:rsidRPr="00072784" w:rsidDel="00D50041">
        <w:t xml:space="preserve"> </w:t>
      </w:r>
      <w:r w:rsidR="00053302">
        <w:t>you could use alternatives to the 4Cs</w:t>
      </w:r>
      <w:r w:rsidR="00053302" w:rsidRPr="00072784">
        <w:t>?</w:t>
      </w:r>
    </w:p>
    <w:p w14:paraId="60D46D9B" w14:textId="6E30BC9B" w:rsidR="00053302" w:rsidRPr="00685223" w:rsidRDefault="006D1675" w:rsidP="00053302">
      <w:pPr>
        <w:pStyle w:val="ListParagraph"/>
        <w:numPr>
          <w:ilvl w:val="0"/>
          <w:numId w:val="2"/>
        </w:numPr>
        <w:rPr>
          <w:rFonts w:cs="Arial"/>
        </w:rPr>
      </w:pPr>
      <w:r>
        <w:t>p</w:t>
      </w:r>
      <w:r w:rsidR="00053302" w:rsidRPr="003351E6">
        <w:t xml:space="preserve">atients or conditions where the management pathway needs review or referral </w:t>
      </w:r>
      <w:proofErr w:type="gramStart"/>
      <w:r w:rsidR="00053302" w:rsidRPr="003351E6">
        <w:t>e.g.</w:t>
      </w:r>
      <w:proofErr w:type="gramEnd"/>
      <w:r w:rsidR="00053302" w:rsidRPr="003351E6">
        <w:t xml:space="preserve"> recurrent infection</w:t>
      </w:r>
      <w:r w:rsidR="00053302">
        <w:t>s</w:t>
      </w:r>
      <w:r w:rsidR="00053302" w:rsidRPr="003351E6">
        <w:t>?</w:t>
      </w:r>
      <w:r w:rsidR="00053302">
        <w:t xml:space="preserve"> </w:t>
      </w:r>
      <w:r w:rsidR="00053302">
        <w:rPr>
          <w:i/>
        </w:rPr>
        <w:t xml:space="preserve">See </w:t>
      </w:r>
      <w:hyperlink r:id="rId17" w:history="1">
        <w:r w:rsidR="00053302" w:rsidRPr="00646F70">
          <w:rPr>
            <w:rStyle w:val="Hyperlink"/>
            <w:i/>
          </w:rPr>
          <w:t>Wales UTI Mini-Audit for urinary prophylaxis 2019/20</w:t>
        </w:r>
      </w:hyperlink>
    </w:p>
    <w:p w14:paraId="507DCD92" w14:textId="7BBF7D76" w:rsidR="0028708C" w:rsidRDefault="0028708C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05444C89" w14:textId="3E717C62" w:rsidR="00053302" w:rsidRPr="00E63546" w:rsidRDefault="006D1675" w:rsidP="00E63546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Consider what</w:t>
      </w:r>
      <w:r w:rsidRPr="00E63546">
        <w:rPr>
          <w:b/>
        </w:rPr>
        <w:t xml:space="preserve"> </w:t>
      </w:r>
      <w:r w:rsidR="00053302" w:rsidRPr="00E63546">
        <w:rPr>
          <w:b/>
        </w:rPr>
        <w:t xml:space="preserve">you </w:t>
      </w:r>
      <w:r w:rsidRPr="00E63546">
        <w:rPr>
          <w:b/>
        </w:rPr>
        <w:t xml:space="preserve">can </w:t>
      </w:r>
      <w:r w:rsidR="00053302" w:rsidRPr="00E63546">
        <w:rPr>
          <w:b/>
        </w:rPr>
        <w:t xml:space="preserve">do to </w:t>
      </w:r>
      <w:r w:rsidR="00E63546">
        <w:rPr>
          <w:b/>
        </w:rPr>
        <w:t>increase ‘</w:t>
      </w:r>
      <w:r w:rsidR="00053302" w:rsidRPr="00E63546">
        <w:rPr>
          <w:b/>
        </w:rPr>
        <w:t>4C</w:t>
      </w:r>
      <w:r w:rsidR="00E63546">
        <w:rPr>
          <w:b/>
        </w:rPr>
        <w:t>’</w:t>
      </w:r>
      <w:r w:rsidR="00053302" w:rsidRPr="00E63546">
        <w:rPr>
          <w:b/>
        </w:rPr>
        <w:t xml:space="preserve"> prescribing in line with guidelines</w:t>
      </w:r>
      <w:r>
        <w:rPr>
          <w:b/>
        </w:rPr>
        <w:t>:</w:t>
      </w:r>
      <w:r w:rsidR="00053302" w:rsidRPr="00E63546">
        <w:rPr>
          <w:b/>
        </w:rPr>
        <w:t xml:space="preserve"> </w:t>
      </w:r>
    </w:p>
    <w:p w14:paraId="5EE16EAC" w14:textId="22BD86A5" w:rsidR="00E63546" w:rsidRDefault="006D1675" w:rsidP="00E63546">
      <w:pPr>
        <w:pStyle w:val="ListParagraph"/>
        <w:numPr>
          <w:ilvl w:val="0"/>
          <w:numId w:val="2"/>
        </w:numPr>
      </w:pPr>
      <w:r>
        <w:t>i</w:t>
      </w:r>
      <w:r w:rsidR="00E63546" w:rsidRPr="008263E5">
        <w:t xml:space="preserve">dentify condition or antibiotic that </w:t>
      </w:r>
      <w:r w:rsidR="00E63546">
        <w:t>need</w:t>
      </w:r>
      <w:r w:rsidR="00E63546" w:rsidRPr="008263E5">
        <w:t>s focused analysis or re-audit in 4</w:t>
      </w:r>
      <w:r w:rsidR="00E63546">
        <w:t xml:space="preserve">-8 </w:t>
      </w:r>
      <w:r w:rsidR="00E63546" w:rsidRPr="00BC7546">
        <w:t>weeks</w:t>
      </w:r>
      <w:r w:rsidR="00E63546">
        <w:t>.</w:t>
      </w:r>
    </w:p>
    <w:p w14:paraId="2838C5DD" w14:textId="5BE32B3A" w:rsidR="00053302" w:rsidRPr="008263E5" w:rsidRDefault="006D1675" w:rsidP="00053302">
      <w:pPr>
        <w:pStyle w:val="ListParagraph"/>
        <w:numPr>
          <w:ilvl w:val="0"/>
          <w:numId w:val="2"/>
        </w:numPr>
      </w:pPr>
      <w:r>
        <w:t>r</w:t>
      </w:r>
      <w:r w:rsidRPr="004E7823">
        <w:t xml:space="preserve">un </w:t>
      </w:r>
      <w:r w:rsidR="00053302" w:rsidRPr="004E7823">
        <w:t>the report every 4</w:t>
      </w:r>
      <w:r w:rsidR="00053302">
        <w:t xml:space="preserve">-8 </w:t>
      </w:r>
      <w:r w:rsidR="00053302" w:rsidRPr="004E7823">
        <w:t xml:space="preserve">weeks to identify whether there is a reduction in the volume of </w:t>
      </w:r>
      <w:r w:rsidR="00E50145">
        <w:t>‘</w:t>
      </w:r>
      <w:r w:rsidR="00053302" w:rsidRPr="004E7823">
        <w:t>4C</w:t>
      </w:r>
      <w:r w:rsidR="00E50145">
        <w:t>’</w:t>
      </w:r>
      <w:r w:rsidR="00053302" w:rsidRPr="004E7823">
        <w:t xml:space="preserve"> broad </w:t>
      </w:r>
      <w:r w:rsidR="00E63546">
        <w:t>spectrum antibiotics prescribed</w:t>
      </w:r>
      <w:r w:rsidR="00053302">
        <w:t>.</w:t>
      </w:r>
      <w:r w:rsidR="00053302" w:rsidRPr="004E7823">
        <w:t xml:space="preserve"> </w:t>
      </w:r>
    </w:p>
    <w:p w14:paraId="449019B4" w14:textId="17972214" w:rsidR="00053302" w:rsidRPr="00E63546" w:rsidRDefault="006D1675" w:rsidP="00053302">
      <w:pPr>
        <w:pStyle w:val="ListParagraph"/>
        <w:numPr>
          <w:ilvl w:val="0"/>
          <w:numId w:val="2"/>
        </w:numPr>
        <w:rPr>
          <w:rFonts w:cs="Arial"/>
        </w:rPr>
      </w:pPr>
      <w:r>
        <w:t xml:space="preserve">consider </w:t>
      </w:r>
      <w:r w:rsidR="00E50145">
        <w:t>a run chart</w:t>
      </w:r>
      <w:r w:rsidR="00053302">
        <w:t xml:space="preserve"> to </w:t>
      </w:r>
      <w:r w:rsidR="00053302" w:rsidRPr="00072784">
        <w:t xml:space="preserve">display </w:t>
      </w:r>
      <w:r w:rsidR="00E50145">
        <w:t>‘</w:t>
      </w:r>
      <w:r w:rsidR="00053302" w:rsidRPr="00072784">
        <w:t>4C</w:t>
      </w:r>
      <w:r w:rsidR="00E50145">
        <w:t>’</w:t>
      </w:r>
      <w:r w:rsidR="00053302" w:rsidRPr="00072784">
        <w:t xml:space="preserve"> antibiotic</w:t>
      </w:r>
      <w:r w:rsidR="00053302">
        <w:t xml:space="preserve"> use</w:t>
      </w:r>
      <w:r w:rsidR="00053302" w:rsidRPr="00072784">
        <w:t xml:space="preserve"> graphically</w:t>
      </w:r>
      <w:r w:rsidR="00053302" w:rsidRPr="007C29DD">
        <w:t xml:space="preserve"> </w:t>
      </w:r>
      <w:r w:rsidR="00053302">
        <w:t>(</w:t>
      </w:r>
      <w:r w:rsidR="00053302" w:rsidRPr="007C29DD">
        <w:rPr>
          <w:i/>
        </w:rPr>
        <w:t>Fig. 1</w:t>
      </w:r>
      <w:r w:rsidR="00053302">
        <w:rPr>
          <w:i/>
        </w:rPr>
        <w:t>)</w:t>
      </w:r>
      <w:r w:rsidR="00053302" w:rsidRPr="007C29DD">
        <w:t>. Data can be added month</w:t>
      </w:r>
      <w:r w:rsidR="00053302">
        <w:t xml:space="preserve">ly </w:t>
      </w:r>
      <w:r w:rsidR="00053302" w:rsidRPr="007C29DD">
        <w:t xml:space="preserve">for prescribers to </w:t>
      </w:r>
      <w:r w:rsidR="00E50145">
        <w:t>follow</w:t>
      </w:r>
      <w:r w:rsidR="00053302" w:rsidRPr="007C29DD">
        <w:t xml:space="preserve"> </w:t>
      </w:r>
      <w:r w:rsidR="00E50145">
        <w:t xml:space="preserve">any changes in </w:t>
      </w:r>
      <w:r w:rsidR="00053302" w:rsidRPr="007C29DD">
        <w:t>prescribing.</w:t>
      </w:r>
    </w:p>
    <w:p w14:paraId="097DA362" w14:textId="62B62E98" w:rsidR="00E63546" w:rsidRPr="006D62F9" w:rsidRDefault="00E63546" w:rsidP="00E63546">
      <w:pPr>
        <w:pStyle w:val="ListParagraph"/>
        <w:ind w:left="780"/>
        <w:rPr>
          <w:rFonts w:cs="Arial"/>
        </w:rPr>
      </w:pPr>
    </w:p>
    <w:p w14:paraId="41EC2B07" w14:textId="3BB66A93" w:rsidR="003B063B" w:rsidRPr="0032287A" w:rsidRDefault="0032287A" w:rsidP="00781A85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4EB5F5" wp14:editId="60236B55">
            <wp:simplePos x="0" y="0"/>
            <wp:positionH relativeFrom="margin">
              <wp:posOffset>1771015</wp:posOffset>
            </wp:positionH>
            <wp:positionV relativeFrom="paragraph">
              <wp:posOffset>690880</wp:posOffset>
            </wp:positionV>
            <wp:extent cx="5420995" cy="3562350"/>
            <wp:effectExtent l="0" t="0" r="8255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302">
        <w:t>Compare your</w:t>
      </w:r>
      <w:r w:rsidR="00053302" w:rsidRPr="00A75BE2">
        <w:t xml:space="preserve"> </w:t>
      </w:r>
      <w:r w:rsidR="00053302" w:rsidRPr="00294533">
        <w:t>practice</w:t>
      </w:r>
      <w:r w:rsidR="00053302">
        <w:t xml:space="preserve"> 4C prescribing to the</w:t>
      </w:r>
      <w:r w:rsidR="00053302" w:rsidRPr="00294533">
        <w:t xml:space="preserve"> CCG </w:t>
      </w:r>
      <w:r w:rsidR="00053302">
        <w:t>and</w:t>
      </w:r>
      <w:r w:rsidR="00053302" w:rsidRPr="00294533">
        <w:t xml:space="preserve"> nationally by quarter or as a twelve-month rolling percentage</w:t>
      </w:r>
      <w:r w:rsidR="00053302" w:rsidRPr="00294533" w:rsidDel="00B51F96">
        <w:t xml:space="preserve"> </w:t>
      </w:r>
      <w:r w:rsidR="00053302">
        <w:t>using</w:t>
      </w:r>
      <w:r w:rsidR="00053302" w:rsidRPr="00294533">
        <w:t xml:space="preserve"> </w:t>
      </w:r>
      <w:hyperlink r:id="rId19" w:history="1">
        <w:proofErr w:type="spellStart"/>
        <w:r w:rsidR="00053302" w:rsidRPr="009D4ACB">
          <w:rPr>
            <w:rStyle w:val="Hyperlink"/>
          </w:rPr>
          <w:t>PrescQipp</w:t>
        </w:r>
        <w:proofErr w:type="spellEnd"/>
      </w:hyperlink>
      <w:r w:rsidR="00053302">
        <w:t xml:space="preserve"> or </w:t>
      </w:r>
      <w:hyperlink r:id="rId20" w:anchor="page/0/gid/1938132909/pat/46/par/E39000026/ati/165/are/E38000056/cid/4/tbm/1/page-options/ovw-do-0" w:history="1">
        <w:r w:rsidR="00053302" w:rsidRPr="00294533">
          <w:rPr>
            <w:rStyle w:val="Hyperlink"/>
          </w:rPr>
          <w:t>Fingertips</w:t>
        </w:r>
      </w:hyperlink>
      <w:r w:rsidR="00053302" w:rsidRPr="00294533">
        <w:t xml:space="preserve"> website</w:t>
      </w:r>
      <w:r>
        <w:t>.</w:t>
      </w:r>
    </w:p>
    <w:p w14:paraId="1C3B8A68" w14:textId="77777777" w:rsidR="005E0516" w:rsidRDefault="005E0516" w:rsidP="002B7D2B">
      <w:pPr>
        <w:pStyle w:val="Heading2"/>
        <w:rPr>
          <w:highlight w:val="yellow"/>
        </w:rPr>
        <w:sectPr w:rsidR="005E0516" w:rsidSect="0032287A">
          <w:endnotePr>
            <w:numFmt w:val="decimal"/>
          </w:endnotePr>
          <w:pgSz w:w="16838" w:h="11906" w:orient="landscape"/>
          <w:pgMar w:top="1021" w:right="1702" w:bottom="1021" w:left="851" w:header="1702" w:footer="709" w:gutter="0"/>
          <w:cols w:space="708"/>
          <w:formProt w:val="0"/>
          <w:docGrid w:linePitch="360"/>
        </w:sectPr>
      </w:pPr>
    </w:p>
    <w:p w14:paraId="5258EC4E" w14:textId="0707506E" w:rsidR="00C64842" w:rsidRPr="009913A7" w:rsidRDefault="003863A6" w:rsidP="009913A7">
      <w:pPr>
        <w:pStyle w:val="Heading2"/>
        <w:spacing w:before="240"/>
        <w:rPr>
          <w:color w:val="000000" w:themeColor="text1"/>
          <w:sz w:val="20"/>
        </w:rPr>
      </w:pPr>
      <w:bookmarkStart w:id="21" w:name="_Toc59173007"/>
      <w:r w:rsidRPr="00102ED7">
        <w:rPr>
          <w:color w:val="auto"/>
          <w:sz w:val="20"/>
          <w:szCs w:val="20"/>
        </w:rPr>
        <w:t xml:space="preserve">Table 3. </w:t>
      </w:r>
      <w:r w:rsidR="000876F1" w:rsidRPr="00102ED7">
        <w:rPr>
          <w:b w:val="0"/>
          <w:bCs w:val="0"/>
          <w:color w:val="auto"/>
          <w:sz w:val="20"/>
        </w:rPr>
        <w:t>“</w:t>
      </w:r>
      <w:r w:rsidR="00FE0EC4" w:rsidRPr="00102ED7">
        <w:rPr>
          <w:b w:val="0"/>
          <w:bCs w:val="0"/>
          <w:color w:val="auto"/>
          <w:sz w:val="20"/>
        </w:rPr>
        <w:t>4</w:t>
      </w:r>
      <w:r w:rsidR="002526EE" w:rsidRPr="00102ED7">
        <w:rPr>
          <w:b w:val="0"/>
          <w:bCs w:val="0"/>
          <w:color w:val="auto"/>
          <w:sz w:val="20"/>
        </w:rPr>
        <w:t>Cs</w:t>
      </w:r>
      <w:r w:rsidR="000876F1" w:rsidRPr="00102ED7">
        <w:rPr>
          <w:b w:val="0"/>
          <w:bCs w:val="0"/>
          <w:color w:val="auto"/>
          <w:sz w:val="20"/>
        </w:rPr>
        <w:t>”</w:t>
      </w:r>
      <w:r w:rsidR="00FE0EC4" w:rsidRPr="00102ED7">
        <w:rPr>
          <w:b w:val="0"/>
          <w:bCs w:val="0"/>
          <w:color w:val="auto"/>
          <w:sz w:val="20"/>
        </w:rPr>
        <w:t xml:space="preserve"> </w:t>
      </w:r>
      <w:r w:rsidR="00031633" w:rsidRPr="00102ED7">
        <w:rPr>
          <w:b w:val="0"/>
          <w:bCs w:val="0"/>
          <w:color w:val="auto"/>
          <w:sz w:val="20"/>
        </w:rPr>
        <w:t xml:space="preserve">audit </w:t>
      </w:r>
      <w:r w:rsidR="00FE0EC4" w:rsidRPr="00102ED7">
        <w:rPr>
          <w:b w:val="0"/>
          <w:bCs w:val="0"/>
          <w:color w:val="auto"/>
          <w:sz w:val="20"/>
        </w:rPr>
        <w:t>data collection sheet</w:t>
      </w:r>
      <w:r w:rsidR="00031633" w:rsidRPr="00102ED7">
        <w:rPr>
          <w:b w:val="0"/>
          <w:bCs w:val="0"/>
          <w:color w:val="auto"/>
          <w:sz w:val="20"/>
        </w:rPr>
        <w:t>:</w:t>
      </w:r>
      <w:r w:rsidR="003B063B" w:rsidRPr="00102ED7">
        <w:rPr>
          <w:b w:val="0"/>
          <w:bCs w:val="0"/>
          <w:color w:val="auto"/>
          <w:sz w:val="20"/>
        </w:rPr>
        <w:t xml:space="preserve"> </w:t>
      </w:r>
      <w:r w:rsidR="00031633" w:rsidRPr="00102ED7">
        <w:rPr>
          <w:b w:val="0"/>
          <w:bCs w:val="0"/>
          <w:color w:val="auto"/>
          <w:sz w:val="20"/>
        </w:rPr>
        <w:t>c</w:t>
      </w:r>
      <w:r w:rsidR="00506763" w:rsidRPr="00102ED7">
        <w:rPr>
          <w:b w:val="0"/>
          <w:bCs w:val="0"/>
          <w:color w:val="auto"/>
          <w:sz w:val="20"/>
        </w:rPr>
        <w:t>ephalosporins</w:t>
      </w:r>
      <w:r w:rsidR="00031633" w:rsidRPr="00102ED7">
        <w:rPr>
          <w:b w:val="0"/>
          <w:bCs w:val="0"/>
          <w:color w:val="auto"/>
          <w:sz w:val="20"/>
        </w:rPr>
        <w:t>,</w:t>
      </w:r>
      <w:r w:rsidR="00506763" w:rsidRPr="00102ED7">
        <w:rPr>
          <w:b w:val="0"/>
          <w:bCs w:val="0"/>
          <w:color w:val="auto"/>
          <w:sz w:val="20"/>
        </w:rPr>
        <w:t xml:space="preserve"> </w:t>
      </w:r>
      <w:r w:rsidR="00031633" w:rsidRPr="00102ED7">
        <w:rPr>
          <w:b w:val="0"/>
          <w:bCs w:val="0"/>
          <w:color w:val="auto"/>
          <w:sz w:val="20"/>
        </w:rPr>
        <w:t xml:space="preserve">co-amoxiclav, </w:t>
      </w:r>
      <w:r w:rsidR="00304438" w:rsidRPr="00102ED7">
        <w:rPr>
          <w:b w:val="0"/>
          <w:bCs w:val="0"/>
          <w:color w:val="auto"/>
          <w:sz w:val="20"/>
        </w:rPr>
        <w:t>fluoro</w:t>
      </w:r>
      <w:r w:rsidR="00031633" w:rsidRPr="00102ED7">
        <w:rPr>
          <w:b w:val="0"/>
          <w:bCs w:val="0"/>
          <w:color w:val="auto"/>
          <w:sz w:val="20"/>
        </w:rPr>
        <w:t xml:space="preserve">quinolones </w:t>
      </w:r>
      <w:r w:rsidR="00304438" w:rsidRPr="00102ED7">
        <w:rPr>
          <w:b w:val="0"/>
          <w:bCs w:val="0"/>
          <w:color w:val="auto"/>
          <w:sz w:val="20"/>
        </w:rPr>
        <w:t>&amp;</w:t>
      </w:r>
      <w:r w:rsidR="00031633" w:rsidRPr="00102ED7">
        <w:rPr>
          <w:b w:val="0"/>
          <w:bCs w:val="0"/>
          <w:color w:val="auto"/>
          <w:sz w:val="20"/>
        </w:rPr>
        <w:t xml:space="preserve"> clindamycin</w:t>
      </w:r>
      <w:bookmarkEnd w:id="21"/>
    </w:p>
    <w:tbl>
      <w:tblPr>
        <w:tblStyle w:val="TableGrid"/>
        <w:tblW w:w="1622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84"/>
        <w:gridCol w:w="9214"/>
        <w:gridCol w:w="303"/>
        <w:gridCol w:w="330"/>
        <w:gridCol w:w="283"/>
        <w:gridCol w:w="284"/>
        <w:gridCol w:w="283"/>
        <w:gridCol w:w="266"/>
        <w:gridCol w:w="301"/>
        <w:gridCol w:w="284"/>
        <w:gridCol w:w="283"/>
        <w:gridCol w:w="476"/>
        <w:gridCol w:w="942"/>
        <w:gridCol w:w="1701"/>
        <w:gridCol w:w="992"/>
      </w:tblGrid>
      <w:tr w:rsidR="0028708C" w:rsidRPr="00A373EF" w14:paraId="056038EF" w14:textId="77777777" w:rsidTr="009040C0">
        <w:trPr>
          <w:trHeight w:val="223"/>
        </w:trPr>
        <w:tc>
          <w:tcPr>
            <w:tcW w:w="284" w:type="dxa"/>
            <w:shd w:val="clear" w:color="auto" w:fill="D9D9D9" w:themeFill="background1" w:themeFillShade="D9"/>
          </w:tcPr>
          <w:p w14:paraId="42EA292B" w14:textId="77777777" w:rsidR="0028708C" w:rsidRPr="00141972" w:rsidRDefault="0028708C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2C3A3436" w14:textId="77777777" w:rsidR="0028708C" w:rsidRPr="003E0DFC" w:rsidRDefault="0028708C" w:rsidP="007C05B1">
            <w:pPr>
              <w:spacing w:line="240" w:lineRule="auto"/>
              <w:ind w:left="-106" w:firstLine="106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093" w:type="dxa"/>
            <w:gridSpan w:val="10"/>
            <w:shd w:val="clear" w:color="auto" w:fill="D9D9D9" w:themeFill="background1" w:themeFillShade="D9"/>
          </w:tcPr>
          <w:p w14:paraId="31DDED78" w14:textId="4732709F" w:rsidR="0028708C" w:rsidRPr="00141972" w:rsidRDefault="0028708C" w:rsidP="009040C0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Patient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9EBED63" w14:textId="77777777" w:rsidR="0028708C" w:rsidRDefault="0028708C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AFEABCE" w14:textId="77777777" w:rsidR="0028708C" w:rsidRPr="00141972" w:rsidRDefault="0028708C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11EA8E" w14:textId="77777777" w:rsidR="0028708C" w:rsidRPr="00141972" w:rsidRDefault="0028708C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65F3034E" w14:textId="77777777" w:rsidTr="00C16062">
        <w:trPr>
          <w:trHeight w:val="509"/>
        </w:trPr>
        <w:tc>
          <w:tcPr>
            <w:tcW w:w="284" w:type="dxa"/>
            <w:shd w:val="clear" w:color="auto" w:fill="D9D9D9" w:themeFill="background1" w:themeFillShade="D9"/>
          </w:tcPr>
          <w:p w14:paraId="584E0C90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4544DD55" w14:textId="690636A6" w:rsidR="00C64842" w:rsidRPr="003E0DFC" w:rsidRDefault="002526EE" w:rsidP="007C05B1">
            <w:pPr>
              <w:spacing w:line="240" w:lineRule="auto"/>
              <w:ind w:left="-106" w:firstLine="106"/>
              <w:rPr>
                <w:rFonts w:cs="Arial"/>
                <w:b/>
                <w:bCs/>
                <w:sz w:val="20"/>
                <w:szCs w:val="20"/>
              </w:rPr>
            </w:pPr>
            <w:r w:rsidRPr="003E0DFC">
              <w:rPr>
                <w:rFonts w:cs="Arial"/>
                <w:b/>
                <w:bCs/>
                <w:sz w:val="20"/>
                <w:szCs w:val="20"/>
              </w:rPr>
              <w:t>Complete table using yes=1 and 0 = no</w:t>
            </w:r>
            <w:r w:rsidR="006B397B" w:rsidRPr="003E0DFC">
              <w:rPr>
                <w:rFonts w:cs="Arial"/>
                <w:b/>
                <w:bCs/>
                <w:sz w:val="20"/>
                <w:szCs w:val="20"/>
              </w:rPr>
              <w:t>,</w:t>
            </w:r>
            <w:r w:rsidRPr="003E0DFC">
              <w:rPr>
                <w:rFonts w:cs="Arial"/>
                <w:b/>
                <w:bCs/>
                <w:sz w:val="20"/>
                <w:szCs w:val="20"/>
              </w:rPr>
              <w:t xml:space="preserve"> or additional follow instructions if needed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7DEBEABB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30" w:type="dxa"/>
            <w:shd w:val="clear" w:color="auto" w:fill="D9D9D9" w:themeFill="background1" w:themeFillShade="D9"/>
          </w:tcPr>
          <w:p w14:paraId="5E98F481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CE8DA59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C0D47DE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48B110D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66" w:type="dxa"/>
            <w:shd w:val="clear" w:color="auto" w:fill="D9D9D9" w:themeFill="background1" w:themeFillShade="D9"/>
          </w:tcPr>
          <w:p w14:paraId="0619EDE0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2BC76F29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1D0047FF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ED6BBC8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14:paraId="7EEEBFB2" w14:textId="77777777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283CF9EA" w14:textId="4EA91A8A" w:rsidR="00C64842" w:rsidRPr="00141972" w:rsidRDefault="00A14D46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No.</w:t>
            </w:r>
            <w:r w:rsidR="00C64842" w:rsidRPr="00141972">
              <w:rPr>
                <w:rFonts w:cs="Arial"/>
                <w:sz w:val="20"/>
                <w:szCs w:val="20"/>
              </w:rPr>
              <w:t xml:space="preserve"> patients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4C4F5D" w14:textId="7BBD15ED" w:rsidR="00C64842" w:rsidRPr="00141972" w:rsidRDefault="00C64842" w:rsidP="00951ED1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41972">
              <w:rPr>
                <w:rFonts w:cs="Arial"/>
                <w:b/>
                <w:sz w:val="20"/>
                <w:szCs w:val="20"/>
              </w:rPr>
              <w:t>%</w:t>
            </w:r>
            <w:r w:rsidRPr="00141972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141972">
              <w:rPr>
                <w:rFonts w:cs="Arial"/>
                <w:sz w:val="20"/>
                <w:szCs w:val="20"/>
              </w:rPr>
              <w:t>of</w:t>
            </w:r>
            <w:proofErr w:type="gramEnd"/>
            <w:r w:rsidRPr="00141972">
              <w:rPr>
                <w:rFonts w:cs="Arial"/>
                <w:sz w:val="20"/>
                <w:szCs w:val="20"/>
              </w:rPr>
              <w:t xml:space="preserve"> total prescribed </w:t>
            </w:r>
            <w:r w:rsidR="007E2D5A">
              <w:rPr>
                <w:rFonts w:cs="Arial"/>
                <w:sz w:val="20"/>
                <w:szCs w:val="20"/>
              </w:rPr>
              <w:t>4</w:t>
            </w:r>
            <w:r w:rsidR="006B397B" w:rsidRPr="00880B7D">
              <w:rPr>
                <w:rFonts w:cs="Arial"/>
                <w:sz w:val="20"/>
                <w:szCs w:val="20"/>
              </w:rPr>
              <w:t>C</w:t>
            </w:r>
            <w:r w:rsidR="00810BD4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8D75F4" w14:textId="1FFF2826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 xml:space="preserve">Your target % </w:t>
            </w:r>
          </w:p>
        </w:tc>
      </w:tr>
      <w:tr w:rsidR="00A14D46" w:rsidRPr="00A373EF" w14:paraId="1C46B03A" w14:textId="77777777" w:rsidTr="00C16062">
        <w:tc>
          <w:tcPr>
            <w:tcW w:w="284" w:type="dxa"/>
          </w:tcPr>
          <w:p w14:paraId="36D2B64E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214" w:type="dxa"/>
          </w:tcPr>
          <w:p w14:paraId="4CA8A88D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E30">
              <w:rPr>
                <w:rFonts w:cs="Arial"/>
                <w:sz w:val="20"/>
                <w:szCs w:val="20"/>
              </w:rPr>
              <w:t>Patient ID</w:t>
            </w:r>
          </w:p>
        </w:tc>
        <w:tc>
          <w:tcPr>
            <w:tcW w:w="303" w:type="dxa"/>
          </w:tcPr>
          <w:p w14:paraId="7D56F75F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0C5CE2AA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703DA4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06F9AB07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322D4FB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5A5165D1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7FBBEB72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448386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76A97C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550D2E9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48B81ED1" w14:textId="09DA19F6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832086" w14:textId="3576EC9E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383A465" w14:textId="619C2EE3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A14D46" w:rsidRPr="00A373EF" w14:paraId="4D1CDDC4" w14:textId="77777777" w:rsidTr="00C16062">
        <w:tc>
          <w:tcPr>
            <w:tcW w:w="284" w:type="dxa"/>
          </w:tcPr>
          <w:p w14:paraId="5EE36C86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9214" w:type="dxa"/>
          </w:tcPr>
          <w:p w14:paraId="55C72725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Age</w:t>
            </w:r>
          </w:p>
        </w:tc>
        <w:tc>
          <w:tcPr>
            <w:tcW w:w="303" w:type="dxa"/>
          </w:tcPr>
          <w:p w14:paraId="5435A7CF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29738339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7DDF13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E3ACAD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B57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4F457848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37244FC7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15552C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711E39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6A1551D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764AFC4B" w14:textId="0F229583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BDC361" w14:textId="2E60359A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BFD3D13" w14:textId="3FBFA157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A14D46" w:rsidRPr="00A373EF" w14:paraId="55823C5D" w14:textId="77777777" w:rsidTr="00C16062">
        <w:tc>
          <w:tcPr>
            <w:tcW w:w="284" w:type="dxa"/>
          </w:tcPr>
          <w:p w14:paraId="67747634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9214" w:type="dxa"/>
          </w:tcPr>
          <w:p w14:paraId="79E78619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Sex</w:t>
            </w:r>
          </w:p>
        </w:tc>
        <w:tc>
          <w:tcPr>
            <w:tcW w:w="303" w:type="dxa"/>
          </w:tcPr>
          <w:p w14:paraId="42106BC9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0B03DDDB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62DA40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B8BDD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631E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46145AD4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15ED4432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5DE916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FC3D04E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1AF59C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34D4122" w14:textId="3CCE7D56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C87890" w14:textId="3BF5245F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C60387" w14:textId="359D6F82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A14D46" w:rsidRPr="00A373EF" w14:paraId="37FC733B" w14:textId="77777777" w:rsidTr="00C16062">
        <w:tc>
          <w:tcPr>
            <w:tcW w:w="284" w:type="dxa"/>
          </w:tcPr>
          <w:p w14:paraId="0052B253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9214" w:type="dxa"/>
          </w:tcPr>
          <w:p w14:paraId="7F8FDB43" w14:textId="77777777" w:rsidR="00C64842" w:rsidRPr="00141972" w:rsidRDefault="00C64842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[Optional: clinician initials</w:t>
            </w:r>
            <w:r w:rsidR="00685223" w:rsidRPr="00A373EF">
              <w:rPr>
                <w:rFonts w:cs="Arial"/>
                <w:sz w:val="20"/>
                <w:szCs w:val="20"/>
              </w:rPr>
              <w:t xml:space="preserve"> and role</w:t>
            </w:r>
            <w:r w:rsidRPr="00141972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303" w:type="dxa"/>
          </w:tcPr>
          <w:p w14:paraId="4CDB93A0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1EBB33C6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EBDF3D2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283F7E4E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6DD46F6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11F80FEE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7487D8A7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8F6B8B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1D6421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196F50C" w14:textId="77777777" w:rsidR="00C64842" w:rsidRPr="00141972" w:rsidRDefault="00C64842" w:rsidP="00951ED1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17438389" w14:textId="58AB0F4D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19DEC3" w14:textId="468118AB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83A277" w14:textId="73CB8D17" w:rsidR="00C64842" w:rsidRPr="00141972" w:rsidRDefault="00810BD4" w:rsidP="00951ED1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927FB3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</w:tr>
      <w:tr w:rsidR="00A14D46" w:rsidRPr="00A373EF" w14:paraId="50AB4D2A" w14:textId="77777777" w:rsidTr="00C16062">
        <w:tc>
          <w:tcPr>
            <w:tcW w:w="284" w:type="dxa"/>
          </w:tcPr>
          <w:p w14:paraId="6ADD5ED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9214" w:type="dxa"/>
          </w:tcPr>
          <w:p w14:paraId="498D72F1" w14:textId="70CD8ACC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41972">
              <w:rPr>
                <w:rFonts w:cs="Arial"/>
                <w:sz w:val="20"/>
                <w:szCs w:val="20"/>
              </w:rPr>
              <w:t>Indication</w:t>
            </w:r>
            <w:r w:rsidRPr="00A373EF">
              <w:rPr>
                <w:rFonts w:cs="Arial"/>
                <w:sz w:val="20"/>
                <w:szCs w:val="20"/>
              </w:rPr>
              <w:t xml:space="preserve"> with</w:t>
            </w:r>
            <w:r w:rsidRPr="00141972">
              <w:rPr>
                <w:rFonts w:cs="Arial"/>
                <w:sz w:val="20"/>
                <w:szCs w:val="20"/>
              </w:rPr>
              <w:t xml:space="preserve"> rationale</w:t>
            </w:r>
            <w:r w:rsidR="0096371A">
              <w:rPr>
                <w:rFonts w:cs="Arial"/>
                <w:sz w:val="20"/>
                <w:szCs w:val="20"/>
              </w:rPr>
              <w:t xml:space="preserve"> </w:t>
            </w:r>
            <w:r w:rsidR="0096371A" w:rsidRPr="0096371A">
              <w:rPr>
                <w:rFonts w:cs="Arial"/>
                <w:sz w:val="20"/>
                <w:szCs w:val="20"/>
              </w:rPr>
              <w:t xml:space="preserve">[Use </w:t>
            </w:r>
            <w:proofErr w:type="gramStart"/>
            <w:r w:rsidR="0096371A" w:rsidRPr="0096371A">
              <w:rPr>
                <w:rFonts w:cs="Arial"/>
                <w:sz w:val="20"/>
                <w:szCs w:val="20"/>
              </w:rPr>
              <w:t>free-text</w:t>
            </w:r>
            <w:proofErr w:type="gramEnd"/>
            <w:r w:rsidR="0096371A" w:rsidRPr="0096371A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303" w:type="dxa"/>
          </w:tcPr>
          <w:p w14:paraId="527F70F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7E1DF01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90E1A5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2D6CCE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BB3E9F5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20235504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06813B58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26CE5DFC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F85D2B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1B258B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</w:tcPr>
          <w:p w14:paraId="107C270E" w14:textId="1D669600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05F30A99" w14:textId="03953646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</w:tcPr>
          <w:p w14:paraId="57EA4022" w14:textId="0E4FDEB8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A14D46" w:rsidRPr="00A373EF" w14:paraId="1E679CB2" w14:textId="77777777" w:rsidTr="00C16062">
        <w:trPr>
          <w:trHeight w:val="263"/>
        </w:trPr>
        <w:tc>
          <w:tcPr>
            <w:tcW w:w="284" w:type="dxa"/>
          </w:tcPr>
          <w:p w14:paraId="1CD198F2" w14:textId="45BF61C6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55FD885C" w14:textId="6B1B0BC1" w:rsidR="004E480F" w:rsidRDefault="004E480F" w:rsidP="004E480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75B80">
              <w:rPr>
                <w:rFonts w:cs="Arial"/>
                <w:b/>
                <w:bCs/>
                <w:sz w:val="20"/>
                <w:szCs w:val="20"/>
              </w:rPr>
              <w:t>Degree of illness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5"/>
              <w:gridCol w:w="4918"/>
            </w:tblGrid>
            <w:tr w:rsidR="004E480F" w14:paraId="4BC591A7" w14:textId="77777777" w:rsidTr="007E2D5A">
              <w:tc>
                <w:tcPr>
                  <w:tcW w:w="3135" w:type="dxa"/>
                </w:tcPr>
                <w:p w14:paraId="1C88B60F" w14:textId="047DF95F" w:rsidR="004E480F" w:rsidRPr="007E2D5A" w:rsidRDefault="004E480F" w:rsidP="004E480F">
                  <w:pPr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975B80">
                    <w:rPr>
                      <w:rFonts w:cs="Arial"/>
                      <w:sz w:val="20"/>
                      <w:szCs w:val="20"/>
                    </w:rPr>
                    <w:t>0 = temperature (temp.) normal</w:t>
                  </w:r>
                </w:p>
              </w:tc>
              <w:tc>
                <w:tcPr>
                  <w:tcW w:w="4918" w:type="dxa"/>
                </w:tcPr>
                <w:p w14:paraId="43BD2F1F" w14:textId="2C0FB13D" w:rsidR="004E480F" w:rsidRPr="007E2D5A" w:rsidRDefault="004E480F" w:rsidP="004E480F">
                  <w:pPr>
                    <w:spacing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975B80">
                    <w:rPr>
                      <w:rFonts w:cs="Arial"/>
                      <w:sz w:val="20"/>
                      <w:szCs w:val="20"/>
                    </w:rPr>
                    <w:t>1 = temp. abnormal (over 37.9°C OR  36°C or below)</w:t>
                  </w:r>
                </w:p>
              </w:tc>
            </w:tr>
            <w:tr w:rsidR="004E480F" w14:paraId="3AD184F8" w14:textId="77777777" w:rsidTr="007E2D5A">
              <w:tc>
                <w:tcPr>
                  <w:tcW w:w="3135" w:type="dxa"/>
                </w:tcPr>
                <w:p w14:paraId="757181E4" w14:textId="3DC7B4E0" w:rsidR="004E480F" w:rsidRDefault="004E480F" w:rsidP="004E480F">
                  <w:pPr>
                    <w:spacing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75B80">
                    <w:rPr>
                      <w:rFonts w:cs="Arial"/>
                      <w:sz w:val="20"/>
                      <w:szCs w:val="20"/>
                    </w:rPr>
                    <w:t>2 = temp not known</w:t>
                  </w:r>
                </w:p>
              </w:tc>
              <w:tc>
                <w:tcPr>
                  <w:tcW w:w="4918" w:type="dxa"/>
                </w:tcPr>
                <w:p w14:paraId="1E90F9F2" w14:textId="77777777" w:rsidR="004E480F" w:rsidRDefault="004E480F" w:rsidP="004E480F">
                  <w:pPr>
                    <w:spacing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E54DAA" w14:textId="6E9DFB89" w:rsidR="004E480F" w:rsidRPr="006D301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3" w:type="dxa"/>
          </w:tcPr>
          <w:p w14:paraId="0AE12CC2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7B7EB237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687DA7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D51C6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EAFDAC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1B69276A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2C19D18B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8898A2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548893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A081D7D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</w:tcPr>
          <w:p w14:paraId="745FECB8" w14:textId="291FF0AB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F094469" w14:textId="49608FF6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</w:tcPr>
          <w:p w14:paraId="41922378" w14:textId="187FA0EB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A14D46" w:rsidRPr="00A373EF" w14:paraId="253D2212" w14:textId="77777777" w:rsidTr="00C16062">
        <w:trPr>
          <w:trHeight w:val="263"/>
        </w:trPr>
        <w:tc>
          <w:tcPr>
            <w:tcW w:w="284" w:type="dxa"/>
          </w:tcPr>
          <w:p w14:paraId="0D33D3F9" w14:textId="5A16D5CD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1857A9D0" w14:textId="0C917182" w:rsidR="004E480F" w:rsidRPr="006D301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75B80">
              <w:rPr>
                <w:rFonts w:cs="Arial"/>
                <w:sz w:val="20"/>
                <w:szCs w:val="20"/>
              </w:rPr>
              <w:t xml:space="preserve">Other signs supporting use of antibiotics </w:t>
            </w:r>
            <w:proofErr w:type="gramStart"/>
            <w:r w:rsidRPr="00975B80">
              <w:rPr>
                <w:rFonts w:cs="Arial"/>
                <w:sz w:val="20"/>
                <w:szCs w:val="20"/>
              </w:rPr>
              <w:t>e.g.</w:t>
            </w:r>
            <w:proofErr w:type="gramEnd"/>
            <w:r w:rsidRPr="00975B80">
              <w:rPr>
                <w:rFonts w:cs="Arial"/>
                <w:sz w:val="20"/>
                <w:szCs w:val="20"/>
              </w:rPr>
              <w:t xml:space="preserve"> pulse, fevers/rigors.</w:t>
            </w:r>
            <w:r w:rsidR="0096371A">
              <w:rPr>
                <w:rFonts w:cs="Arial"/>
                <w:sz w:val="20"/>
                <w:szCs w:val="20"/>
              </w:rPr>
              <w:t xml:space="preserve"> </w:t>
            </w:r>
            <w:r w:rsidR="0096371A" w:rsidRPr="0096371A">
              <w:rPr>
                <w:rFonts w:cs="Arial"/>
                <w:sz w:val="20"/>
                <w:szCs w:val="20"/>
              </w:rPr>
              <w:t xml:space="preserve">[Use </w:t>
            </w:r>
            <w:proofErr w:type="gramStart"/>
            <w:r w:rsidR="0096371A" w:rsidRPr="0096371A">
              <w:rPr>
                <w:rFonts w:cs="Arial"/>
                <w:sz w:val="20"/>
                <w:szCs w:val="20"/>
              </w:rPr>
              <w:t>free-text</w:t>
            </w:r>
            <w:proofErr w:type="gramEnd"/>
            <w:r w:rsidR="0096371A" w:rsidRPr="0096371A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303" w:type="dxa"/>
          </w:tcPr>
          <w:p w14:paraId="761A466F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690D012A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2F29761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1FA62607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0DA073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59D147AC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4CB780E7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D8FB94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38388E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0DE669F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</w:tcPr>
          <w:p w14:paraId="5F139CBB" w14:textId="734D14F6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0E7089E7" w14:textId="6F2A070B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992" w:type="dxa"/>
          </w:tcPr>
          <w:p w14:paraId="0E671FD7" w14:textId="3A5D1D91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A14D46" w:rsidRPr="00A373EF" w14:paraId="0026A8EC" w14:textId="77777777" w:rsidTr="00C16062">
        <w:trPr>
          <w:trHeight w:val="263"/>
        </w:trPr>
        <w:tc>
          <w:tcPr>
            <w:tcW w:w="284" w:type="dxa"/>
          </w:tcPr>
          <w:p w14:paraId="56BC24EA" w14:textId="3914F064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0AE10AFD" w14:textId="486C0BF4" w:rsidR="004E480F" w:rsidRPr="006D3012" w:rsidRDefault="0053328E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3328E">
              <w:rPr>
                <w:rFonts w:cs="Arial"/>
                <w:sz w:val="20"/>
                <w:szCs w:val="20"/>
              </w:rPr>
              <w:t>Was indication appropriately coded?</w:t>
            </w:r>
          </w:p>
        </w:tc>
        <w:tc>
          <w:tcPr>
            <w:tcW w:w="303" w:type="dxa"/>
          </w:tcPr>
          <w:p w14:paraId="766F478D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2618DC8B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2D17EC3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F8D681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4A00A2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</w:tcPr>
          <w:p w14:paraId="440724A9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14:paraId="6116511E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32D10E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8AC1CE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39CCC2" w14:textId="77777777" w:rsidR="004E480F" w:rsidRPr="00141972" w:rsidRDefault="004E480F" w:rsidP="004E480F">
            <w:pPr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42" w:type="dxa"/>
          </w:tcPr>
          <w:p w14:paraId="3A710EE9" w14:textId="38BB89DE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55D1CB" w14:textId="46B043D1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E27B8" w14:textId="1B8EE0AB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4A83C77B" w14:textId="77777777" w:rsidTr="00C16062">
        <w:tc>
          <w:tcPr>
            <w:tcW w:w="284" w:type="dxa"/>
            <w:shd w:val="clear" w:color="auto" w:fill="auto"/>
          </w:tcPr>
          <w:p w14:paraId="662B0880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14:paraId="1BF1FB22" w14:textId="6759D633" w:rsidR="004E480F" w:rsidRPr="006D3012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D3012">
              <w:rPr>
                <w:rFonts w:cs="Arial"/>
                <w:b/>
                <w:sz w:val="20"/>
                <w:szCs w:val="20"/>
              </w:rPr>
              <w:t>Compliance with NICE</w:t>
            </w:r>
            <w:r>
              <w:rPr>
                <w:rFonts w:cs="Arial"/>
                <w:b/>
                <w:sz w:val="20"/>
                <w:szCs w:val="20"/>
              </w:rPr>
              <w:t xml:space="preserve">/ local </w:t>
            </w:r>
            <w:r w:rsidRPr="006D3012">
              <w:rPr>
                <w:rFonts w:cs="Arial"/>
                <w:b/>
                <w:sz w:val="20"/>
                <w:szCs w:val="20"/>
              </w:rPr>
              <w:t>guidance</w:t>
            </w:r>
            <w:r>
              <w:rPr>
                <w:rFonts w:cs="Arial"/>
                <w:b/>
                <w:sz w:val="20"/>
                <w:szCs w:val="20"/>
              </w:rPr>
              <w:t xml:space="preserve"> – check if </w:t>
            </w:r>
            <w:r w:rsidR="00DF7396">
              <w:rPr>
                <w:rFonts w:cs="Arial"/>
                <w:b/>
                <w:sz w:val="20"/>
                <w:szCs w:val="20"/>
              </w:rPr>
              <w:t>a</w:t>
            </w:r>
            <w:r>
              <w:rPr>
                <w:rFonts w:cs="Arial"/>
                <w:b/>
                <w:sz w:val="20"/>
                <w:szCs w:val="20"/>
              </w:rPr>
              <w:t xml:space="preserve">ntibiotic is first, second or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alternative choice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in guidance and conditions met </w:t>
            </w:r>
            <w:r w:rsidRPr="00121E30">
              <w:rPr>
                <w:rFonts w:cs="Arial"/>
                <w:sz w:val="20"/>
                <w:szCs w:val="20"/>
              </w:rPr>
              <w:t>(see Table 1)</w:t>
            </w:r>
          </w:p>
        </w:tc>
        <w:tc>
          <w:tcPr>
            <w:tcW w:w="303" w:type="dxa"/>
            <w:shd w:val="clear" w:color="auto" w:fill="auto"/>
          </w:tcPr>
          <w:p w14:paraId="2D3C070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2E6F39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11C6D8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AA1D2CA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D2082E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14:paraId="334B7505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14:paraId="70D5201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B3E4743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F40B4D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067BF8E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372C7DA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DE66E9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1EC54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7147BDEE" w14:textId="77777777" w:rsidTr="00C16062">
        <w:tc>
          <w:tcPr>
            <w:tcW w:w="284" w:type="dxa"/>
            <w:shd w:val="clear" w:color="auto" w:fill="D9D9D9" w:themeFill="background1" w:themeFillShade="D9"/>
          </w:tcPr>
          <w:p w14:paraId="054B5EB3" w14:textId="7356FAC6" w:rsidR="004E480F" w:rsidRPr="00B04679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04679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7CA47D" w14:textId="2E78C280" w:rsidR="004E480F" w:rsidRPr="00B04679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CO-AMOXICLAV PRESCRIBED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43BF1060" w14:textId="6B11447D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</w:tcPr>
          <w:p w14:paraId="13E3F8D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BCEDC6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9EB0688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8666D7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9D9D9" w:themeFill="background1" w:themeFillShade="D9"/>
          </w:tcPr>
          <w:p w14:paraId="5C816051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6A58DC37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E050D2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2D7B0C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7A64B2A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19E67E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5057E29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EC5B1EE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5AB733A3" w14:textId="77777777" w:rsidTr="00C16062">
        <w:tc>
          <w:tcPr>
            <w:tcW w:w="284" w:type="dxa"/>
          </w:tcPr>
          <w:p w14:paraId="3C888F7A" w14:textId="6ADF84F3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2C3731C9" w14:textId="27305F12" w:rsidR="004E480F" w:rsidRPr="00B04679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CO-AMOXICLAV</w:t>
            </w:r>
            <w:r w:rsidRPr="00B04679">
              <w:rPr>
                <w:rFonts w:cs="Arial"/>
                <w:sz w:val="20"/>
                <w:szCs w:val="20"/>
              </w:rPr>
              <w:t xml:space="preserve"> prescribed in line with guidance </w:t>
            </w:r>
            <w:r w:rsidRPr="00B04679">
              <w:rPr>
                <w:rFonts w:cs="Arial"/>
                <w:sz w:val="20"/>
                <w:szCs w:val="20"/>
                <w:u w:val="single"/>
              </w:rPr>
              <w:t>first choice</w:t>
            </w:r>
            <w:r w:rsidRPr="00B04679">
              <w:rPr>
                <w:rFonts w:cs="Arial"/>
                <w:sz w:val="20"/>
                <w:szCs w:val="20"/>
              </w:rPr>
              <w:t xml:space="preserve"> </w:t>
            </w:r>
          </w:p>
          <w:p w14:paraId="3701B978" w14:textId="583511A0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 xml:space="preserve">Community-acquired pneumonia, </w:t>
            </w:r>
            <w:r w:rsidRPr="00B04679">
              <w:rPr>
                <w:bCs/>
                <w:sz w:val="20"/>
                <w:szCs w:val="20"/>
              </w:rPr>
              <w:t>high severity</w:t>
            </w:r>
          </w:p>
          <w:p w14:paraId="5C7DB154" w14:textId="6B550084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>Bites</w:t>
            </w:r>
            <w:r w:rsidRPr="00B04679">
              <w:rPr>
                <w:sz w:val="20"/>
                <w:szCs w:val="20"/>
              </w:rPr>
              <w:t>: prophylaxis/treatment all.</w:t>
            </w:r>
          </w:p>
          <w:p w14:paraId="5D08BE07" w14:textId="77777777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>Acute diverticulitis uncomplicated</w:t>
            </w:r>
          </w:p>
          <w:p w14:paraId="6DAB2B31" w14:textId="77777777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 xml:space="preserve">Cellulitis and erysipelas </w:t>
            </w:r>
            <w:r w:rsidRPr="00B04679">
              <w:rPr>
                <w:sz w:val="20"/>
                <w:szCs w:val="20"/>
              </w:rPr>
              <w:t>and infection near eyes or nose.</w:t>
            </w:r>
          </w:p>
          <w:p w14:paraId="5DF51455" w14:textId="250FE404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 xml:space="preserve">Acute pyelonephritis, complicated UTI, catheter UTI with upper UTI symptoms. </w:t>
            </w:r>
          </w:p>
        </w:tc>
        <w:tc>
          <w:tcPr>
            <w:tcW w:w="303" w:type="dxa"/>
          </w:tcPr>
          <w:p w14:paraId="1E19F8FE" w14:textId="2B976BDA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6571E244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023B2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A4D31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43C7F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5A5C278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1C66229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4AE270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DDB0C3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77D30D04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6A74D1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6125A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3ABED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7C6A19DF" w14:textId="77777777" w:rsidTr="00C16062">
        <w:tc>
          <w:tcPr>
            <w:tcW w:w="284" w:type="dxa"/>
          </w:tcPr>
          <w:p w14:paraId="4144DAA4" w14:textId="1BFC4468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0984AB09" w14:textId="3A30394C" w:rsidR="004E480F" w:rsidRPr="00B04679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CO-AMOXICLAV</w:t>
            </w:r>
            <w:r w:rsidRPr="00B04679">
              <w:rPr>
                <w:rFonts w:cs="Arial"/>
                <w:sz w:val="20"/>
                <w:szCs w:val="20"/>
              </w:rPr>
              <w:t xml:space="preserve"> prescribed in line with guidance </w:t>
            </w:r>
            <w:r w:rsidRPr="00B04679">
              <w:rPr>
                <w:sz w:val="20"/>
                <w:szCs w:val="20"/>
                <w:u w:val="single"/>
              </w:rPr>
              <w:t>second choice/alternative</w:t>
            </w:r>
            <w:r w:rsidRPr="00B04679">
              <w:rPr>
                <w:sz w:val="20"/>
                <w:szCs w:val="20"/>
              </w:rPr>
              <w:t xml:space="preserve"> option.</w:t>
            </w:r>
          </w:p>
        </w:tc>
        <w:tc>
          <w:tcPr>
            <w:tcW w:w="303" w:type="dxa"/>
          </w:tcPr>
          <w:p w14:paraId="41A2297F" w14:textId="672FB09D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051ED3F1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B5801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000E83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DAA18F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7774E1B5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5A03D935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0B0BB37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0B1B9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002DB424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464858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6415B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A2DFA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4F5C7E33" w14:textId="77777777" w:rsidTr="00C16062">
        <w:tc>
          <w:tcPr>
            <w:tcW w:w="284" w:type="dxa"/>
            <w:shd w:val="clear" w:color="auto" w:fill="D9D9D9" w:themeFill="background1" w:themeFillShade="D9"/>
          </w:tcPr>
          <w:p w14:paraId="2F597C45" w14:textId="37D91370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012D66" w14:textId="14AC4C05" w:rsidR="004E480F" w:rsidRPr="00B04679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CEFALEXIN PRESCRIBED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3375CBA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</w:tcPr>
          <w:p w14:paraId="1DED07AA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94BD229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CCA3AB8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53B9E27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9D9D9" w:themeFill="background1" w:themeFillShade="D9"/>
          </w:tcPr>
          <w:p w14:paraId="6B2F1AE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0928F15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2C0024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B235B6C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676EF9E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BD33F6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2349621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6705AE8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0DFF2781" w14:textId="77777777" w:rsidTr="00C16062">
        <w:trPr>
          <w:trHeight w:val="375"/>
        </w:trPr>
        <w:tc>
          <w:tcPr>
            <w:tcW w:w="284" w:type="dxa"/>
          </w:tcPr>
          <w:p w14:paraId="0D6F7FEB" w14:textId="1DCB785F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214" w:type="dxa"/>
            <w:shd w:val="clear" w:color="auto" w:fill="auto"/>
          </w:tcPr>
          <w:p w14:paraId="499D2F6E" w14:textId="7A5AA87B" w:rsidR="004E480F" w:rsidRPr="00B04679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CEFALEXIN</w:t>
            </w:r>
            <w:r w:rsidRPr="00B04679">
              <w:rPr>
                <w:rFonts w:cs="Arial"/>
                <w:sz w:val="20"/>
                <w:szCs w:val="20"/>
              </w:rPr>
              <w:t xml:space="preserve"> prescribed in line with guidance </w:t>
            </w:r>
            <w:r w:rsidRPr="00B04679">
              <w:rPr>
                <w:rFonts w:cs="Arial"/>
                <w:sz w:val="20"/>
                <w:szCs w:val="20"/>
                <w:u w:val="single"/>
              </w:rPr>
              <w:t xml:space="preserve">first choice </w:t>
            </w:r>
          </w:p>
          <w:p w14:paraId="15C80E3E" w14:textId="3782E936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 xml:space="preserve">Acute pyelonephritis, complicated UTI, catheter UTI with upper UTI symptoms </w:t>
            </w:r>
          </w:p>
          <w:p w14:paraId="098B1040" w14:textId="183CF160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6" w:hanging="255"/>
              <w:rPr>
                <w:rFonts w:cs="Arial"/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 xml:space="preserve">Pregnancy associated asymptomatic bacteriuria </w:t>
            </w:r>
          </w:p>
        </w:tc>
        <w:tc>
          <w:tcPr>
            <w:tcW w:w="303" w:type="dxa"/>
          </w:tcPr>
          <w:p w14:paraId="36FB0B5E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57EFDDC1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B0F54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27D7A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97FE7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15FCB76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1B13E4C0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53B4B6D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C97ED9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14140B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345188DE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FC8032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CEDCF4" w14:textId="77777777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355645CC" w14:textId="77777777" w:rsidTr="00C16062">
        <w:tc>
          <w:tcPr>
            <w:tcW w:w="284" w:type="dxa"/>
          </w:tcPr>
          <w:p w14:paraId="109B2F72" w14:textId="21D58F55" w:rsidR="004E480F" w:rsidRPr="00141972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9214" w:type="dxa"/>
          </w:tcPr>
          <w:p w14:paraId="7E1AC969" w14:textId="6712F478" w:rsidR="004E480F" w:rsidRPr="00B04679" w:rsidRDefault="004E480F" w:rsidP="004E480F">
            <w:pPr>
              <w:spacing w:line="240" w:lineRule="auto"/>
            </w:pPr>
            <w:r w:rsidRPr="00B04679">
              <w:rPr>
                <w:rFonts w:cs="Arial"/>
                <w:b/>
                <w:sz w:val="20"/>
                <w:szCs w:val="20"/>
              </w:rPr>
              <w:t>CEFALEXIN</w:t>
            </w:r>
            <w:r w:rsidRPr="00B04679">
              <w:rPr>
                <w:sz w:val="20"/>
                <w:szCs w:val="20"/>
              </w:rPr>
              <w:t xml:space="preserve"> </w:t>
            </w:r>
            <w:r w:rsidRPr="00B04679">
              <w:rPr>
                <w:rFonts w:cs="Arial"/>
                <w:sz w:val="20"/>
                <w:szCs w:val="20"/>
              </w:rPr>
              <w:t xml:space="preserve">prescribed in line with guidance </w:t>
            </w:r>
            <w:r w:rsidRPr="00B04679">
              <w:rPr>
                <w:sz w:val="20"/>
                <w:szCs w:val="20"/>
                <w:u w:val="single"/>
              </w:rPr>
              <w:t>second choice/alternative</w:t>
            </w:r>
            <w:r w:rsidRPr="00B04679">
              <w:rPr>
                <w:sz w:val="20"/>
                <w:szCs w:val="20"/>
              </w:rPr>
              <w:t xml:space="preserve"> option.</w:t>
            </w:r>
            <w:r w:rsidRPr="00B04679">
              <w:t xml:space="preserve"> </w:t>
            </w:r>
          </w:p>
        </w:tc>
        <w:tc>
          <w:tcPr>
            <w:tcW w:w="303" w:type="dxa"/>
          </w:tcPr>
          <w:p w14:paraId="64ADB3B5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330" w:type="dxa"/>
          </w:tcPr>
          <w:p w14:paraId="76D41C9D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425AA886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84" w:type="dxa"/>
          </w:tcPr>
          <w:p w14:paraId="2AFFEF54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378D2A68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66" w:type="dxa"/>
          </w:tcPr>
          <w:p w14:paraId="3DA096CC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301" w:type="dxa"/>
          </w:tcPr>
          <w:p w14:paraId="54C5E0BB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84" w:type="dxa"/>
          </w:tcPr>
          <w:p w14:paraId="464B50DB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5269C31D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E6F1C68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47A198B3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6BD97B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82FDFA" w14:textId="77777777" w:rsidR="004E480F" w:rsidRPr="004A2833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216E6A80" w14:textId="77777777" w:rsidTr="00C16062">
        <w:tc>
          <w:tcPr>
            <w:tcW w:w="284" w:type="dxa"/>
            <w:shd w:val="clear" w:color="auto" w:fill="D9D9D9" w:themeFill="background1" w:themeFillShade="D9"/>
          </w:tcPr>
          <w:p w14:paraId="3965B628" w14:textId="18E879E9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0E09EF41" w14:textId="64CF33D9" w:rsidR="004E480F" w:rsidRPr="00B04679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>QUINOLONE prescribed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E2C5879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</w:tcPr>
          <w:p w14:paraId="764AD4D9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FD4803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646BF48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324DAB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9D9D9" w:themeFill="background1" w:themeFillShade="D9"/>
          </w:tcPr>
          <w:p w14:paraId="17E762B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22C3D8B5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E5D6EBF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16E6AC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4043D6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21B34BF1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751BA3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5B23A2C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06CAB3A3" w14:textId="77777777" w:rsidTr="00C16062">
        <w:tc>
          <w:tcPr>
            <w:tcW w:w="284" w:type="dxa"/>
          </w:tcPr>
          <w:p w14:paraId="662C7799" w14:textId="2999A4CE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9214" w:type="dxa"/>
          </w:tcPr>
          <w:p w14:paraId="0B326C30" w14:textId="3038E0A1" w:rsidR="004E480F" w:rsidRPr="00B04679" w:rsidRDefault="004E480F" w:rsidP="004E480F">
            <w:pPr>
              <w:spacing w:line="240" w:lineRule="auto"/>
              <w:rPr>
                <w:sz w:val="20"/>
                <w:szCs w:val="20"/>
              </w:rPr>
            </w:pPr>
            <w:r w:rsidRPr="00B04679">
              <w:rPr>
                <w:rFonts w:cs="Arial"/>
                <w:b/>
                <w:sz w:val="20"/>
                <w:szCs w:val="20"/>
              </w:rPr>
              <w:t xml:space="preserve">QUINOLONE </w:t>
            </w:r>
            <w:r w:rsidRPr="00B04679">
              <w:rPr>
                <w:rFonts w:cs="Arial"/>
                <w:sz w:val="20"/>
                <w:szCs w:val="20"/>
              </w:rPr>
              <w:t xml:space="preserve">prescribed in line with guidance </w:t>
            </w:r>
            <w:r w:rsidRPr="00B04679">
              <w:rPr>
                <w:rFonts w:cs="Arial"/>
                <w:sz w:val="20"/>
                <w:szCs w:val="20"/>
                <w:u w:val="single"/>
              </w:rPr>
              <w:t>first choice</w:t>
            </w:r>
            <w:r w:rsidRPr="00B04679">
              <w:rPr>
                <w:sz w:val="20"/>
                <w:szCs w:val="20"/>
              </w:rPr>
              <w:t>. Consider safety issues</w:t>
            </w:r>
          </w:p>
          <w:p w14:paraId="7FED47A6" w14:textId="5DD0289F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1" w:hanging="253"/>
              <w:rPr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>16+</w:t>
            </w:r>
            <w:r w:rsidRPr="00B04679">
              <w:rPr>
                <w:sz w:val="20"/>
                <w:szCs w:val="20"/>
              </w:rPr>
              <w:t xml:space="preserve"> </w:t>
            </w:r>
            <w:r w:rsidRPr="00B04679">
              <w:rPr>
                <w:b/>
                <w:sz w:val="20"/>
                <w:szCs w:val="20"/>
              </w:rPr>
              <w:t>Acute pyelonephritis, complicated UTI, catheter UTI with upper UTI symptoms</w:t>
            </w:r>
            <w:r w:rsidRPr="00B04679">
              <w:rPr>
                <w:sz w:val="20"/>
                <w:szCs w:val="20"/>
              </w:rPr>
              <w:t xml:space="preserve"> </w:t>
            </w:r>
          </w:p>
          <w:p w14:paraId="27876E9D" w14:textId="65376CEC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1" w:hanging="253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>Gonorrhoea</w:t>
            </w:r>
            <w:r w:rsidR="005711C3">
              <w:rPr>
                <w:b/>
                <w:sz w:val="20"/>
                <w:szCs w:val="20"/>
              </w:rPr>
              <w:t xml:space="preserve">, </w:t>
            </w:r>
            <w:r w:rsidR="005711C3" w:rsidRPr="005711C3">
              <w:rPr>
                <w:rFonts w:cs="Arial"/>
                <w:sz w:val="20"/>
                <w:szCs w:val="20"/>
              </w:rPr>
              <w:t>only if known to be sensitive</w:t>
            </w:r>
          </w:p>
          <w:p w14:paraId="75B7B7EE" w14:textId="3DBD703B" w:rsidR="004E480F" w:rsidRPr="00B04679" w:rsidRDefault="004E480F" w:rsidP="004E48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71" w:hanging="253"/>
              <w:rPr>
                <w:b/>
                <w:sz w:val="20"/>
                <w:szCs w:val="20"/>
              </w:rPr>
            </w:pPr>
            <w:r w:rsidRPr="00B04679">
              <w:rPr>
                <w:b/>
                <w:sz w:val="20"/>
                <w:szCs w:val="20"/>
              </w:rPr>
              <w:t>Acute prostatitis</w:t>
            </w:r>
            <w:r w:rsidRPr="00B04679">
              <w:rPr>
                <w:sz w:val="20"/>
                <w:szCs w:val="20"/>
              </w:rPr>
              <w:t>: guided by microbiology results.</w:t>
            </w:r>
          </w:p>
        </w:tc>
        <w:tc>
          <w:tcPr>
            <w:tcW w:w="303" w:type="dxa"/>
          </w:tcPr>
          <w:p w14:paraId="24180A6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49536B9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52F10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8F5280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0C8A6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5C2560D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20FFE089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559A8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4D2D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77E9D16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01459C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5FC98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781501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4942D00D" w14:textId="77777777" w:rsidTr="00C16062">
        <w:trPr>
          <w:trHeight w:val="241"/>
        </w:trPr>
        <w:tc>
          <w:tcPr>
            <w:tcW w:w="284" w:type="dxa"/>
          </w:tcPr>
          <w:p w14:paraId="295A39C0" w14:textId="06543F6B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</w:p>
        </w:tc>
        <w:tc>
          <w:tcPr>
            <w:tcW w:w="9214" w:type="dxa"/>
          </w:tcPr>
          <w:p w14:paraId="7F5E9DC0" w14:textId="04EDFB38" w:rsidR="004E480F" w:rsidRPr="006D3012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D3012">
              <w:rPr>
                <w:rFonts w:cs="Arial"/>
                <w:b/>
                <w:sz w:val="20"/>
                <w:szCs w:val="20"/>
              </w:rPr>
              <w:t xml:space="preserve">QUINOLONE </w:t>
            </w:r>
            <w:r w:rsidRPr="006D3012">
              <w:rPr>
                <w:rFonts w:cs="Arial"/>
                <w:sz w:val="20"/>
                <w:szCs w:val="20"/>
              </w:rPr>
              <w:t xml:space="preserve">prescribed in line with guidance </w:t>
            </w:r>
            <w:r w:rsidRPr="00880B7D">
              <w:rPr>
                <w:sz w:val="20"/>
                <w:szCs w:val="20"/>
                <w:u w:val="single"/>
              </w:rPr>
              <w:t>second choice/alternative</w:t>
            </w:r>
            <w:r w:rsidRPr="006D3012">
              <w:rPr>
                <w:sz w:val="20"/>
                <w:szCs w:val="20"/>
              </w:rPr>
              <w:t xml:space="preserve"> option.</w:t>
            </w:r>
          </w:p>
        </w:tc>
        <w:tc>
          <w:tcPr>
            <w:tcW w:w="303" w:type="dxa"/>
          </w:tcPr>
          <w:p w14:paraId="6BD6D88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2C3E27D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8B006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9B4A1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75D93B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4E1B587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0A1EAC2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BDECA3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2C1F13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21B1116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0F4FBF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366B5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681894" w14:textId="0D6BE136" w:rsidR="004E480F" w:rsidRPr="00E72FF3" w:rsidRDefault="004E480F" w:rsidP="004E480F">
            <w:pPr>
              <w:tabs>
                <w:tab w:val="left" w:pos="760"/>
              </w:tabs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7F9D194E" w14:textId="77777777" w:rsidTr="00C16062">
        <w:tc>
          <w:tcPr>
            <w:tcW w:w="284" w:type="dxa"/>
            <w:shd w:val="clear" w:color="auto" w:fill="D9D9D9" w:themeFill="background1" w:themeFillShade="D9"/>
          </w:tcPr>
          <w:p w14:paraId="26B4188D" w14:textId="48E0B25B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61EAD37" w14:textId="010CC2A6" w:rsidR="004E480F" w:rsidRPr="00C04DF5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02ED7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 w:val="20"/>
                <w:szCs w:val="20"/>
              </w:rPr>
              <w:t>LINDAMYCIN</w:t>
            </w:r>
            <w:r w:rsidRPr="00102ED7">
              <w:rPr>
                <w:rFonts w:cs="Arial"/>
                <w:b/>
                <w:sz w:val="20"/>
                <w:szCs w:val="20"/>
              </w:rPr>
              <w:t xml:space="preserve"> prescribed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41E8089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</w:tcPr>
          <w:p w14:paraId="7D9DB0F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59ACB19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E6E5021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904D7DC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9D9D9" w:themeFill="background1" w:themeFillShade="D9"/>
          </w:tcPr>
          <w:p w14:paraId="39D9CC8B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7388BE1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F28BF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6F17C4B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293A2E1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380761C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3FE4D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39FC9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62792989" w14:textId="77777777" w:rsidTr="00C16062">
        <w:tc>
          <w:tcPr>
            <w:tcW w:w="284" w:type="dxa"/>
            <w:shd w:val="clear" w:color="auto" w:fill="auto"/>
          </w:tcPr>
          <w:p w14:paraId="3A3FCFDE" w14:textId="652CBDED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9214" w:type="dxa"/>
            <w:shd w:val="clear" w:color="auto" w:fill="auto"/>
          </w:tcPr>
          <w:p w14:paraId="3D163DB5" w14:textId="06C940F4" w:rsidR="004E480F" w:rsidRPr="00102ED7" w:rsidRDefault="004E480F" w:rsidP="004E480F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02ED7">
              <w:rPr>
                <w:rFonts w:cs="Arial"/>
                <w:bCs/>
                <w:sz w:val="20"/>
                <w:szCs w:val="20"/>
              </w:rPr>
              <w:t>No indications for oral clindamycin in 202</w:t>
            </w:r>
            <w:r w:rsidR="00FB7522">
              <w:rPr>
                <w:rFonts w:cs="Arial"/>
                <w:bCs/>
                <w:sz w:val="20"/>
                <w:szCs w:val="20"/>
              </w:rPr>
              <w:t>2</w:t>
            </w:r>
            <w:r w:rsidRPr="00102ED7">
              <w:rPr>
                <w:rFonts w:cs="Arial"/>
                <w:bCs/>
                <w:sz w:val="20"/>
                <w:szCs w:val="20"/>
              </w:rPr>
              <w:t xml:space="preserve"> NICE guidance: not a </w:t>
            </w:r>
            <w:proofErr w:type="gramStart"/>
            <w:r w:rsidRPr="00102ED7">
              <w:rPr>
                <w:rFonts w:cs="Arial"/>
                <w:bCs/>
                <w:sz w:val="20"/>
                <w:szCs w:val="20"/>
              </w:rPr>
              <w:t>first or second line</w:t>
            </w:r>
            <w:proofErr w:type="gramEnd"/>
            <w:r w:rsidRPr="00102ED7">
              <w:rPr>
                <w:rFonts w:cs="Arial"/>
                <w:bCs/>
                <w:sz w:val="20"/>
                <w:szCs w:val="20"/>
              </w:rPr>
              <w:t xml:space="preserve"> option.</w:t>
            </w:r>
          </w:p>
        </w:tc>
        <w:tc>
          <w:tcPr>
            <w:tcW w:w="303" w:type="dxa"/>
            <w:shd w:val="clear" w:color="auto" w:fill="auto"/>
          </w:tcPr>
          <w:p w14:paraId="194A1C3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4B299DE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69AC58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A980755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55E326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14:paraId="49C164A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auto"/>
          </w:tcPr>
          <w:p w14:paraId="1B401BF7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57D816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ADA793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A68947B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491535A8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B85B5A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95660F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59E50E1F" w14:textId="77777777" w:rsidTr="00C16062">
        <w:tc>
          <w:tcPr>
            <w:tcW w:w="284" w:type="dxa"/>
            <w:shd w:val="clear" w:color="auto" w:fill="D9D9D9" w:themeFill="background1" w:themeFillShade="D9"/>
          </w:tcPr>
          <w:p w14:paraId="23344E54" w14:textId="007F2C08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28ADAA8F" w14:textId="77777777" w:rsidR="004E480F" w:rsidRPr="00C04DF5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04DF5">
              <w:rPr>
                <w:rFonts w:cs="Arial"/>
                <w:b/>
                <w:sz w:val="20"/>
                <w:szCs w:val="20"/>
              </w:rPr>
              <w:t>Compliance with NICE guidance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974F2B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</w:tcPr>
          <w:p w14:paraId="069003E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DF1F82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6C9BE18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48E74F7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D9D9D9" w:themeFill="background1" w:themeFillShade="D9"/>
          </w:tcPr>
          <w:p w14:paraId="0829DDD5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492FED6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EB344A9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E5DE2BB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02D009E3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0217F6C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C63C5D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A93F0F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14D46" w:rsidRPr="00A373EF" w14:paraId="635DCE6D" w14:textId="77777777" w:rsidTr="00C16062">
        <w:tc>
          <w:tcPr>
            <w:tcW w:w="284" w:type="dxa"/>
          </w:tcPr>
          <w:p w14:paraId="435B95C6" w14:textId="7FC90148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214" w:type="dxa"/>
          </w:tcPr>
          <w:p w14:paraId="3EB4034D" w14:textId="35B8BEE1" w:rsidR="004E480F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373EF">
              <w:rPr>
                <w:rFonts w:cs="Arial"/>
                <w:b/>
                <w:sz w:val="20"/>
                <w:szCs w:val="20"/>
              </w:rPr>
              <w:t>Notes indicating rationale for any deviation from guidanc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</w:p>
          <w:p w14:paraId="245F30FD" w14:textId="2A8BF407" w:rsidR="004E480F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F963CF0" w14:textId="77777777" w:rsidR="004E480F" w:rsidRPr="00C04DF5" w:rsidRDefault="004E480F" w:rsidP="004E480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3" w:type="dxa"/>
          </w:tcPr>
          <w:p w14:paraId="71ACB586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0" w:type="dxa"/>
          </w:tcPr>
          <w:p w14:paraId="09BCDD1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7A046F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D08EAB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207660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6A69EDD4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1" w:type="dxa"/>
          </w:tcPr>
          <w:p w14:paraId="7CD5DD9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A3DD0D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640FDE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09C190D1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61DD5B3F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025802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F6E937" w14:textId="77777777" w:rsidR="004E480F" w:rsidRPr="00C04DF5" w:rsidRDefault="004E480F" w:rsidP="004E480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053E9F5" w14:textId="47FDBF04" w:rsidR="0057662F" w:rsidRPr="00075A21" w:rsidRDefault="0057662F" w:rsidP="00883DAD">
      <w:pPr>
        <w:spacing w:line="240" w:lineRule="auto"/>
        <w:rPr>
          <w:rFonts w:cs="Arial"/>
        </w:rPr>
      </w:pPr>
    </w:p>
    <w:sectPr w:rsidR="0057662F" w:rsidRPr="00075A21" w:rsidSect="00102ED7">
      <w:pgSz w:w="16838" w:h="11906" w:orient="landscape"/>
      <w:pgMar w:top="142" w:right="1134" w:bottom="1021" w:left="1702" w:header="0" w:footer="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BBAF" w14:textId="77777777" w:rsidR="000833FE" w:rsidRDefault="000833FE" w:rsidP="00AD2F73">
      <w:r>
        <w:separator/>
      </w:r>
    </w:p>
  </w:endnote>
  <w:endnote w:type="continuationSeparator" w:id="0">
    <w:p w14:paraId="5C615C7A" w14:textId="77777777" w:rsidR="000833FE" w:rsidRDefault="000833FE" w:rsidP="00AD2F73">
      <w:r>
        <w:continuationSeparator/>
      </w:r>
    </w:p>
  </w:endnote>
  <w:endnote w:type="continuationNotice" w:id="1">
    <w:p w14:paraId="245AEF15" w14:textId="77777777" w:rsidR="000833FE" w:rsidRDefault="000833FE">
      <w:pPr>
        <w:spacing w:line="240" w:lineRule="auto"/>
      </w:pPr>
    </w:p>
  </w:endnote>
  <w:endnote w:id="2">
    <w:p w14:paraId="6DF7BECE" w14:textId="0BE022BC" w:rsidR="00055C58" w:rsidRDefault="00055C58">
      <w:pPr>
        <w:pStyle w:val="EndnoteText"/>
      </w:pPr>
      <w:r>
        <w:rPr>
          <w:rStyle w:val="EndnoteReference"/>
        </w:rPr>
        <w:endnoteRef/>
      </w:r>
      <w:r>
        <w:t xml:space="preserve"> NICE. (2020). </w:t>
      </w:r>
      <w:r w:rsidRPr="00020F25">
        <w:rPr>
          <w:i/>
        </w:rPr>
        <w:t>Antimicrobial prescribing guidance - managing common infections.</w:t>
      </w:r>
      <w:r>
        <w:t xml:space="preserve"> </w:t>
      </w:r>
      <w:hyperlink r:id="rId1" w:history="1">
        <w:r w:rsidRPr="004B04B4">
          <w:rPr>
            <w:rStyle w:val="Hyperlink"/>
          </w:rPr>
          <w:t>www.nice.org.uk/</w:t>
        </w:r>
      </w:hyperlink>
    </w:p>
  </w:endnote>
  <w:endnote w:id="3">
    <w:p w14:paraId="2F8147DB" w14:textId="63A0A805" w:rsidR="00055C58" w:rsidRDefault="00055C58">
      <w:pPr>
        <w:pStyle w:val="EndnoteText"/>
      </w:pPr>
      <w:r>
        <w:rPr>
          <w:rStyle w:val="EndnoteReference"/>
        </w:rPr>
        <w:endnoteRef/>
      </w:r>
      <w:r>
        <w:t xml:space="preserve"> Costello </w:t>
      </w:r>
      <w:r w:rsidRPr="007E631E">
        <w:rPr>
          <w:i/>
        </w:rPr>
        <w:t>et al</w:t>
      </w:r>
      <w:r>
        <w:t>. (2010)</w:t>
      </w:r>
      <w:r w:rsidRPr="007E631E">
        <w:t xml:space="preserve">. </w:t>
      </w:r>
      <w:r w:rsidRPr="007E631E">
        <w:rPr>
          <w:lang w:val="en"/>
        </w:rPr>
        <w:t xml:space="preserve">Effect of antibiotic prescribing in primary care on antimicrobial resistance in individual patients: systematic review and meta-analysis. </w:t>
      </w:r>
      <w:r w:rsidRPr="007E631E">
        <w:rPr>
          <w:rStyle w:val="italic"/>
          <w:i/>
          <w:lang w:val="en"/>
        </w:rPr>
        <w:t>BMJ</w:t>
      </w:r>
      <w:r w:rsidRPr="007E631E">
        <w:rPr>
          <w:rStyle w:val="highwire-cite-article-as"/>
          <w:lang w:val="en"/>
        </w:rPr>
        <w:t xml:space="preserve"> 2010;340:c2096.</w:t>
      </w:r>
    </w:p>
  </w:endnote>
  <w:endnote w:id="4">
    <w:p w14:paraId="27A5EBE3" w14:textId="30A14444" w:rsidR="00055C58" w:rsidRDefault="00055C5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B39F7">
        <w:t>UK Health Security Agency</w:t>
      </w:r>
      <w:r w:rsidR="0072093C">
        <w:t>.</w:t>
      </w:r>
      <w:r w:rsidR="007B39F7">
        <w:t xml:space="preserve"> (2022). </w:t>
      </w:r>
      <w:r w:rsidR="007B39F7" w:rsidRPr="0041205F">
        <w:rPr>
          <w:i/>
        </w:rPr>
        <w:t>English surveillance programme for antimicrobial utilisation and resistance (ESPAUR) report</w:t>
      </w:r>
      <w:r w:rsidR="007B39F7">
        <w:rPr>
          <w:i/>
        </w:rPr>
        <w:t xml:space="preserve"> 20121 to 2022</w:t>
      </w:r>
      <w:r w:rsidR="007B39F7" w:rsidRPr="0041205F">
        <w:rPr>
          <w:i/>
        </w:rPr>
        <w:t>.</w:t>
      </w:r>
      <w:r w:rsidR="007B39F7">
        <w:t xml:space="preserve"> </w:t>
      </w:r>
      <w:hyperlink r:id="rId2" w:history="1">
        <w:r w:rsidR="007B39F7">
          <w:rPr>
            <w:rStyle w:val="Hyperlink"/>
          </w:rPr>
          <w:t>English surveillance programme for antimicrobial utilisation and resistance (ESPAUR) report - GOV.UK (www.gov.uk)</w:t>
        </w:r>
      </w:hyperlink>
      <w:r w:rsidR="007B39F7">
        <w:t xml:space="preserve"> </w:t>
      </w:r>
    </w:p>
  </w:endnote>
  <w:endnote w:id="5">
    <w:p w14:paraId="2434FA1A" w14:textId="4DDEF0EA" w:rsidR="00055C58" w:rsidRDefault="00055C58">
      <w:pPr>
        <w:pStyle w:val="EndnoteText"/>
      </w:pPr>
      <w:r>
        <w:rPr>
          <w:rStyle w:val="EndnoteReference"/>
        </w:rPr>
        <w:endnoteRef/>
      </w:r>
      <w:r>
        <w:t xml:space="preserve"> Wilcox et al. (2008). </w:t>
      </w:r>
      <w:r w:rsidRPr="007E631E">
        <w:rPr>
          <w:lang w:val="en"/>
        </w:rPr>
        <w:t xml:space="preserve">A case-control study of community-associated </w:t>
      </w:r>
      <w:r w:rsidRPr="007E631E">
        <w:rPr>
          <w:i/>
          <w:lang w:val="en"/>
        </w:rPr>
        <w:t>Clostridium difficile</w:t>
      </w:r>
      <w:r w:rsidRPr="007E631E">
        <w:rPr>
          <w:lang w:val="en"/>
        </w:rPr>
        <w:t xml:space="preserve"> infection. </w:t>
      </w:r>
      <w:r w:rsidRPr="007E631E">
        <w:rPr>
          <w:i/>
          <w:lang w:val="en"/>
        </w:rPr>
        <w:t xml:space="preserve">J </w:t>
      </w:r>
      <w:proofErr w:type="spellStart"/>
      <w:r w:rsidRPr="007E631E">
        <w:rPr>
          <w:i/>
          <w:lang w:val="en"/>
        </w:rPr>
        <w:t>Antimicrob</w:t>
      </w:r>
      <w:proofErr w:type="spellEnd"/>
      <w:r w:rsidRPr="007E631E">
        <w:rPr>
          <w:i/>
          <w:lang w:val="en"/>
        </w:rPr>
        <w:t xml:space="preserve"> Chemother.</w:t>
      </w:r>
      <w:r>
        <w:rPr>
          <w:i/>
          <w:lang w:val="en"/>
        </w:rPr>
        <w:t xml:space="preserve"> </w:t>
      </w:r>
      <w:r>
        <w:rPr>
          <w:lang w:val="en"/>
        </w:rPr>
        <w:t>62:388-396.</w:t>
      </w:r>
    </w:p>
  </w:endnote>
  <w:endnote w:id="6">
    <w:p w14:paraId="60AA6432" w14:textId="6FBA07C4" w:rsidR="0072093C" w:rsidRPr="0072093C" w:rsidRDefault="00055C58" w:rsidP="0072093C">
      <w:pPr>
        <w:pStyle w:val="EndnoteText"/>
        <w:rPr>
          <w:b/>
          <w:bCs/>
        </w:rPr>
      </w:pPr>
      <w:r>
        <w:rPr>
          <w:rStyle w:val="EndnoteReference"/>
        </w:rPr>
        <w:endnoteRef/>
      </w:r>
      <w:r>
        <w:t xml:space="preserve"> </w:t>
      </w:r>
      <w:r w:rsidR="0072093C">
        <w:t xml:space="preserve">Department of Health and Social Care, (2019). </w:t>
      </w:r>
      <w:hyperlink r:id="rId3" w:history="1">
        <w:r w:rsidR="0072093C" w:rsidRPr="0072093C">
          <w:rPr>
            <w:rStyle w:val="Hyperlink"/>
            <w:i/>
            <w:iCs/>
          </w:rPr>
          <w:t>UK 5-year action plan for antimicrobial resistance 2019 to 2024 - GOV.UK</w:t>
        </w:r>
        <w:r w:rsidR="0072093C">
          <w:rPr>
            <w:rStyle w:val="Hyperlink"/>
          </w:rPr>
          <w:t xml:space="preserve"> (www.gov.uk)</w:t>
        </w:r>
      </w:hyperlink>
    </w:p>
    <w:p w14:paraId="309D6454" w14:textId="7263E8DA" w:rsidR="00055C58" w:rsidRDefault="00055C58">
      <w:pPr>
        <w:pStyle w:val="EndnoteText"/>
      </w:pPr>
    </w:p>
  </w:endnote>
  <w:endnote w:id="7">
    <w:p w14:paraId="2A2E492E" w14:textId="2BD9DFB8" w:rsidR="008A7758" w:rsidRDefault="008A7758" w:rsidP="007B39F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old">
    <w:altName w:val="Arial"/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F95D" w14:textId="6890EE05" w:rsidR="006523C0" w:rsidRDefault="00031633" w:rsidP="006A115E">
    <w:pPr>
      <w:pStyle w:val="Footer"/>
      <w:jc w:val="center"/>
      <w:rPr>
        <w:noProof/>
        <w:sz w:val="20"/>
        <w:szCs w:val="20"/>
      </w:rPr>
    </w:pPr>
    <w:r w:rsidRPr="005E4A5D">
      <w:rPr>
        <w:sz w:val="20"/>
        <w:szCs w:val="20"/>
      </w:rPr>
      <w:fldChar w:fldCharType="begin"/>
    </w:r>
    <w:r w:rsidRPr="005E4A5D">
      <w:rPr>
        <w:sz w:val="20"/>
        <w:szCs w:val="20"/>
      </w:rPr>
      <w:instrText xml:space="preserve"> PAGE   \* MERGEFORMAT </w:instrText>
    </w:r>
    <w:r w:rsidRPr="005E4A5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E4A5D">
      <w:rPr>
        <w:noProof/>
        <w:sz w:val="20"/>
        <w:szCs w:val="20"/>
      </w:rPr>
      <w:fldChar w:fldCharType="end"/>
    </w:r>
    <w:r w:rsidR="006523C0">
      <w:rPr>
        <w:noProof/>
        <w:sz w:val="20"/>
        <w:szCs w:val="20"/>
      </w:rPr>
      <w:t xml:space="preserve"> </w:t>
    </w:r>
  </w:p>
  <w:p w14:paraId="178665A8" w14:textId="0C073A3A" w:rsidR="00031633" w:rsidRPr="006A115E" w:rsidRDefault="006523C0" w:rsidP="006A115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\* MERGEFORMAT </w:instrText>
    </w:r>
    <w:r>
      <w:rPr>
        <w:sz w:val="20"/>
        <w:szCs w:val="20"/>
      </w:rPr>
      <w:fldChar w:fldCharType="separate"/>
    </w:r>
    <w:r w:rsidR="00EB033B">
      <w:rPr>
        <w:noProof/>
        <w:sz w:val="20"/>
        <w:szCs w:val="20"/>
      </w:rPr>
      <w:t xml:space="preserve">4Cs Antibiotic Audit </w:t>
    </w:r>
    <w:r w:rsidR="00E416B0">
      <w:rPr>
        <w:noProof/>
        <w:sz w:val="20"/>
        <w:szCs w:val="20"/>
      </w:rPr>
      <w:t>V1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Published: </w:t>
    </w:r>
    <w:r w:rsidR="00E416B0">
      <w:rPr>
        <w:sz w:val="20"/>
        <w:szCs w:val="20"/>
      </w:rPr>
      <w:t>March 2023</w:t>
    </w:r>
    <w:r>
      <w:rPr>
        <w:sz w:val="20"/>
        <w:szCs w:val="20"/>
      </w:rPr>
      <w:t xml:space="preserve">       Review Date: </w:t>
    </w:r>
    <w:r w:rsidR="00E416B0">
      <w:rPr>
        <w:sz w:val="20"/>
        <w:szCs w:val="20"/>
      </w:rPr>
      <w:t>March 2025</w:t>
    </w:r>
    <w:r>
      <w:rPr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7B74" w14:textId="08F5EEB2" w:rsidR="00031633" w:rsidRPr="005E4A5D" w:rsidRDefault="00031633" w:rsidP="00A75BE2">
    <w:pPr>
      <w:pStyle w:val="Footer"/>
      <w:tabs>
        <w:tab w:val="center" w:pos="7001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E4A5D">
      <w:rPr>
        <w:sz w:val="20"/>
        <w:szCs w:val="20"/>
      </w:rPr>
      <w:fldChar w:fldCharType="begin"/>
    </w:r>
    <w:r w:rsidRPr="005E4A5D">
      <w:rPr>
        <w:sz w:val="20"/>
        <w:szCs w:val="20"/>
      </w:rPr>
      <w:instrText xml:space="preserve"> PAGE   \* MERGEFORMAT </w:instrText>
    </w:r>
    <w:r w:rsidRPr="005E4A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E4A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92E8" w14:textId="77777777" w:rsidR="000833FE" w:rsidRDefault="000833FE" w:rsidP="00AD2F73">
      <w:r>
        <w:separator/>
      </w:r>
    </w:p>
  </w:footnote>
  <w:footnote w:type="continuationSeparator" w:id="0">
    <w:p w14:paraId="5BDCF94C" w14:textId="77777777" w:rsidR="000833FE" w:rsidRDefault="000833FE" w:rsidP="00AD2F73">
      <w:r>
        <w:continuationSeparator/>
      </w:r>
    </w:p>
  </w:footnote>
  <w:footnote w:type="continuationNotice" w:id="1">
    <w:p w14:paraId="1B81C715" w14:textId="77777777" w:rsidR="000833FE" w:rsidRDefault="000833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D760" w14:textId="203F777F" w:rsidR="00031633" w:rsidRDefault="0003163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78F866" wp14:editId="7380687F">
          <wp:simplePos x="0" y="0"/>
          <wp:positionH relativeFrom="margin">
            <wp:posOffset>-635</wp:posOffset>
          </wp:positionH>
          <wp:positionV relativeFrom="paragraph">
            <wp:posOffset>-782320</wp:posOffset>
          </wp:positionV>
          <wp:extent cx="631825" cy="777240"/>
          <wp:effectExtent l="0" t="0" r="0" b="381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808"/>
                  <a:stretch/>
                </pic:blipFill>
                <pic:spPr bwMode="auto">
                  <a:xfrm>
                    <a:off x="0" y="0"/>
                    <a:ext cx="631825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8D3785"/>
    <w:multiLevelType w:val="hybridMultilevel"/>
    <w:tmpl w:val="FF4D02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3CD6"/>
    <w:multiLevelType w:val="hybridMultilevel"/>
    <w:tmpl w:val="28B03E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21474"/>
    <w:multiLevelType w:val="hybridMultilevel"/>
    <w:tmpl w:val="4406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F19B9"/>
    <w:multiLevelType w:val="hybridMultilevel"/>
    <w:tmpl w:val="8C728C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C7CEC"/>
    <w:multiLevelType w:val="hybridMultilevel"/>
    <w:tmpl w:val="9AEA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B6DCB"/>
    <w:multiLevelType w:val="hybridMultilevel"/>
    <w:tmpl w:val="C2445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26B8"/>
    <w:multiLevelType w:val="hybridMultilevel"/>
    <w:tmpl w:val="A320825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6AD9"/>
    <w:multiLevelType w:val="hybridMultilevel"/>
    <w:tmpl w:val="A112E11C"/>
    <w:lvl w:ilvl="0" w:tplc="0B169F58">
      <w:start w:val="6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1612CC1"/>
    <w:multiLevelType w:val="hybridMultilevel"/>
    <w:tmpl w:val="47A4D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75B66"/>
    <w:multiLevelType w:val="hybridMultilevel"/>
    <w:tmpl w:val="43C09884"/>
    <w:lvl w:ilvl="0" w:tplc="12DE52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5B11"/>
    <w:multiLevelType w:val="hybridMultilevel"/>
    <w:tmpl w:val="DEBA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37CB"/>
    <w:multiLevelType w:val="hybridMultilevel"/>
    <w:tmpl w:val="66BE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271D"/>
    <w:multiLevelType w:val="hybridMultilevel"/>
    <w:tmpl w:val="6D7C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377"/>
    <w:multiLevelType w:val="multilevel"/>
    <w:tmpl w:val="75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03B52"/>
    <w:multiLevelType w:val="hybridMultilevel"/>
    <w:tmpl w:val="E1B2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108F"/>
    <w:multiLevelType w:val="multilevel"/>
    <w:tmpl w:val="E37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31FF0"/>
    <w:multiLevelType w:val="hybridMultilevel"/>
    <w:tmpl w:val="01F42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7378"/>
    <w:multiLevelType w:val="multilevel"/>
    <w:tmpl w:val="313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417CE8"/>
    <w:multiLevelType w:val="hybridMultilevel"/>
    <w:tmpl w:val="B4F4784C"/>
    <w:lvl w:ilvl="0" w:tplc="2F1C8F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A2423"/>
    <w:multiLevelType w:val="hybridMultilevel"/>
    <w:tmpl w:val="F4CA7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E00CC"/>
    <w:multiLevelType w:val="hybridMultilevel"/>
    <w:tmpl w:val="978A1EF2"/>
    <w:lvl w:ilvl="0" w:tplc="2F1C8F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D3D35"/>
    <w:multiLevelType w:val="hybridMultilevel"/>
    <w:tmpl w:val="70A61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97F3F"/>
    <w:multiLevelType w:val="multilevel"/>
    <w:tmpl w:val="F12E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2055B"/>
    <w:multiLevelType w:val="hybridMultilevel"/>
    <w:tmpl w:val="06D0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193F"/>
    <w:multiLevelType w:val="hybridMultilevel"/>
    <w:tmpl w:val="F018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37702"/>
    <w:multiLevelType w:val="hybridMultilevel"/>
    <w:tmpl w:val="6726B1E0"/>
    <w:lvl w:ilvl="0" w:tplc="9A68F3F4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864FA5"/>
    <w:multiLevelType w:val="hybridMultilevel"/>
    <w:tmpl w:val="70EA2B0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64B54F0"/>
    <w:multiLevelType w:val="hybridMultilevel"/>
    <w:tmpl w:val="83D27056"/>
    <w:lvl w:ilvl="0" w:tplc="11BA5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C7ED5"/>
    <w:multiLevelType w:val="hybridMultilevel"/>
    <w:tmpl w:val="056C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0430D"/>
    <w:multiLevelType w:val="hybridMultilevel"/>
    <w:tmpl w:val="ED741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E261A"/>
    <w:multiLevelType w:val="hybridMultilevel"/>
    <w:tmpl w:val="C5946C96"/>
    <w:lvl w:ilvl="0" w:tplc="7DC6A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37436"/>
    <w:multiLevelType w:val="hybridMultilevel"/>
    <w:tmpl w:val="16D08416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0794F18"/>
    <w:multiLevelType w:val="hybridMultilevel"/>
    <w:tmpl w:val="F276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D1C15"/>
    <w:multiLevelType w:val="hybridMultilevel"/>
    <w:tmpl w:val="2F2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761C"/>
    <w:multiLevelType w:val="hybridMultilevel"/>
    <w:tmpl w:val="D4A08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D43CA"/>
    <w:multiLevelType w:val="hybridMultilevel"/>
    <w:tmpl w:val="0C964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6374"/>
    <w:multiLevelType w:val="hybridMultilevel"/>
    <w:tmpl w:val="A320825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75501"/>
    <w:multiLevelType w:val="multilevel"/>
    <w:tmpl w:val="A3D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50058"/>
    <w:multiLevelType w:val="hybridMultilevel"/>
    <w:tmpl w:val="AA6EA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D48FF"/>
    <w:multiLevelType w:val="hybridMultilevel"/>
    <w:tmpl w:val="15A25AD8"/>
    <w:lvl w:ilvl="0" w:tplc="0414BB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86BD2"/>
    <w:multiLevelType w:val="hybridMultilevel"/>
    <w:tmpl w:val="80D26B84"/>
    <w:lvl w:ilvl="0" w:tplc="42CCFE7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039E3"/>
    <w:multiLevelType w:val="hybridMultilevel"/>
    <w:tmpl w:val="A3A21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36582"/>
    <w:multiLevelType w:val="hybridMultilevel"/>
    <w:tmpl w:val="90022840"/>
    <w:lvl w:ilvl="0" w:tplc="DF30BD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C46C7"/>
    <w:multiLevelType w:val="hybridMultilevel"/>
    <w:tmpl w:val="FF0C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A7BEA"/>
    <w:multiLevelType w:val="hybridMultilevel"/>
    <w:tmpl w:val="C6E2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44"/>
  </w:num>
  <w:num w:numId="4">
    <w:abstractNumId w:val="24"/>
  </w:num>
  <w:num w:numId="5">
    <w:abstractNumId w:val="30"/>
  </w:num>
  <w:num w:numId="6">
    <w:abstractNumId w:val="9"/>
  </w:num>
  <w:num w:numId="7">
    <w:abstractNumId w:val="28"/>
  </w:num>
  <w:num w:numId="8">
    <w:abstractNumId w:val="1"/>
  </w:num>
  <w:num w:numId="9">
    <w:abstractNumId w:val="18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6"/>
  </w:num>
  <w:num w:numId="16">
    <w:abstractNumId w:val="7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10"/>
  </w:num>
  <w:num w:numId="22">
    <w:abstractNumId w:val="35"/>
  </w:num>
  <w:num w:numId="23">
    <w:abstractNumId w:val="43"/>
  </w:num>
  <w:num w:numId="24">
    <w:abstractNumId w:val="39"/>
  </w:num>
  <w:num w:numId="25">
    <w:abstractNumId w:val="0"/>
  </w:num>
  <w:num w:numId="26">
    <w:abstractNumId w:val="42"/>
  </w:num>
  <w:num w:numId="27">
    <w:abstractNumId w:val="2"/>
  </w:num>
  <w:num w:numId="28">
    <w:abstractNumId w:val="4"/>
  </w:num>
  <w:num w:numId="29">
    <w:abstractNumId w:val="14"/>
  </w:num>
  <w:num w:numId="30">
    <w:abstractNumId w:val="12"/>
  </w:num>
  <w:num w:numId="31">
    <w:abstractNumId w:val="38"/>
  </w:num>
  <w:num w:numId="32">
    <w:abstractNumId w:val="8"/>
  </w:num>
  <w:num w:numId="33">
    <w:abstractNumId w:val="6"/>
  </w:num>
  <w:num w:numId="34">
    <w:abstractNumId w:val="41"/>
  </w:num>
  <w:num w:numId="35">
    <w:abstractNumId w:val="16"/>
  </w:num>
  <w:num w:numId="36">
    <w:abstractNumId w:val="11"/>
  </w:num>
  <w:num w:numId="37">
    <w:abstractNumId w:val="33"/>
  </w:num>
  <w:num w:numId="38">
    <w:abstractNumId w:val="31"/>
  </w:num>
  <w:num w:numId="39">
    <w:abstractNumId w:val="26"/>
  </w:num>
  <w:num w:numId="40">
    <w:abstractNumId w:val="19"/>
  </w:num>
  <w:num w:numId="41">
    <w:abstractNumId w:val="27"/>
  </w:num>
  <w:num w:numId="42">
    <w:abstractNumId w:val="13"/>
  </w:num>
  <w:num w:numId="43">
    <w:abstractNumId w:val="22"/>
  </w:num>
  <w:num w:numId="44">
    <w:abstractNumId w:val="37"/>
  </w:num>
  <w:num w:numId="45">
    <w:abstractNumId w:val="1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FC"/>
    <w:rsid w:val="00003A05"/>
    <w:rsid w:val="0000683D"/>
    <w:rsid w:val="0001276E"/>
    <w:rsid w:val="00020F25"/>
    <w:rsid w:val="00022B70"/>
    <w:rsid w:val="00031633"/>
    <w:rsid w:val="000413A7"/>
    <w:rsid w:val="00045354"/>
    <w:rsid w:val="00050185"/>
    <w:rsid w:val="0005043C"/>
    <w:rsid w:val="00051BFA"/>
    <w:rsid w:val="00053302"/>
    <w:rsid w:val="00055C58"/>
    <w:rsid w:val="000570ED"/>
    <w:rsid w:val="00061A7B"/>
    <w:rsid w:val="00070552"/>
    <w:rsid w:val="00072784"/>
    <w:rsid w:val="000727CE"/>
    <w:rsid w:val="000742C2"/>
    <w:rsid w:val="00075A21"/>
    <w:rsid w:val="000833FE"/>
    <w:rsid w:val="00084911"/>
    <w:rsid w:val="000876F1"/>
    <w:rsid w:val="000931FF"/>
    <w:rsid w:val="00096FFC"/>
    <w:rsid w:val="000A1FA4"/>
    <w:rsid w:val="000A7FBD"/>
    <w:rsid w:val="000B4195"/>
    <w:rsid w:val="000B75CE"/>
    <w:rsid w:val="000C50FB"/>
    <w:rsid w:val="000C5CA5"/>
    <w:rsid w:val="000D5B3F"/>
    <w:rsid w:val="000D6318"/>
    <w:rsid w:val="000E0E64"/>
    <w:rsid w:val="000E193A"/>
    <w:rsid w:val="000F0619"/>
    <w:rsid w:val="000F1470"/>
    <w:rsid w:val="000F2F42"/>
    <w:rsid w:val="000F439A"/>
    <w:rsid w:val="000F6D07"/>
    <w:rsid w:val="00102ED7"/>
    <w:rsid w:val="001050B1"/>
    <w:rsid w:val="00110790"/>
    <w:rsid w:val="00117FDD"/>
    <w:rsid w:val="001203ED"/>
    <w:rsid w:val="00121E30"/>
    <w:rsid w:val="00124845"/>
    <w:rsid w:val="00131A5F"/>
    <w:rsid w:val="00141972"/>
    <w:rsid w:val="00141C04"/>
    <w:rsid w:val="00146588"/>
    <w:rsid w:val="00151059"/>
    <w:rsid w:val="00151241"/>
    <w:rsid w:val="00151D61"/>
    <w:rsid w:val="00154084"/>
    <w:rsid w:val="001556B7"/>
    <w:rsid w:val="001577D3"/>
    <w:rsid w:val="00160BF2"/>
    <w:rsid w:val="00163D12"/>
    <w:rsid w:val="00176DBD"/>
    <w:rsid w:val="00177FD5"/>
    <w:rsid w:val="00183DAD"/>
    <w:rsid w:val="0019479C"/>
    <w:rsid w:val="001A0F53"/>
    <w:rsid w:val="001A20AA"/>
    <w:rsid w:val="001A7287"/>
    <w:rsid w:val="001B62E8"/>
    <w:rsid w:val="001C378E"/>
    <w:rsid w:val="001C6784"/>
    <w:rsid w:val="001D1141"/>
    <w:rsid w:val="001D2BC1"/>
    <w:rsid w:val="001D489C"/>
    <w:rsid w:val="001D6CC0"/>
    <w:rsid w:val="001F6988"/>
    <w:rsid w:val="002062E0"/>
    <w:rsid w:val="00206F8E"/>
    <w:rsid w:val="002070FA"/>
    <w:rsid w:val="002111C8"/>
    <w:rsid w:val="002202AF"/>
    <w:rsid w:val="00237976"/>
    <w:rsid w:val="00240184"/>
    <w:rsid w:val="00241D05"/>
    <w:rsid w:val="002436D6"/>
    <w:rsid w:val="00244DDA"/>
    <w:rsid w:val="002513D5"/>
    <w:rsid w:val="002526EE"/>
    <w:rsid w:val="002628B0"/>
    <w:rsid w:val="0026293A"/>
    <w:rsid w:val="00270D62"/>
    <w:rsid w:val="00277D33"/>
    <w:rsid w:val="0028708C"/>
    <w:rsid w:val="00294533"/>
    <w:rsid w:val="002A27D2"/>
    <w:rsid w:val="002B05B1"/>
    <w:rsid w:val="002B31AB"/>
    <w:rsid w:val="002B45FD"/>
    <w:rsid w:val="002B4A66"/>
    <w:rsid w:val="002B7D2B"/>
    <w:rsid w:val="002C0A54"/>
    <w:rsid w:val="002C0F79"/>
    <w:rsid w:val="002C2E25"/>
    <w:rsid w:val="002C3EBE"/>
    <w:rsid w:val="002C6B70"/>
    <w:rsid w:val="002D30AA"/>
    <w:rsid w:val="002D3C25"/>
    <w:rsid w:val="002D477F"/>
    <w:rsid w:val="002E0289"/>
    <w:rsid w:val="002E32F5"/>
    <w:rsid w:val="002E50A6"/>
    <w:rsid w:val="002E641A"/>
    <w:rsid w:val="002F00C9"/>
    <w:rsid w:val="002F1C85"/>
    <w:rsid w:val="00303D9F"/>
    <w:rsid w:val="00304076"/>
    <w:rsid w:val="00304438"/>
    <w:rsid w:val="00311591"/>
    <w:rsid w:val="00312189"/>
    <w:rsid w:val="00314C0E"/>
    <w:rsid w:val="00317083"/>
    <w:rsid w:val="00317A79"/>
    <w:rsid w:val="0032287A"/>
    <w:rsid w:val="00324EB4"/>
    <w:rsid w:val="0033062F"/>
    <w:rsid w:val="00331327"/>
    <w:rsid w:val="003351E6"/>
    <w:rsid w:val="00345061"/>
    <w:rsid w:val="0035152C"/>
    <w:rsid w:val="00364873"/>
    <w:rsid w:val="00366946"/>
    <w:rsid w:val="00366BD3"/>
    <w:rsid w:val="00373D82"/>
    <w:rsid w:val="00375EA7"/>
    <w:rsid w:val="003863A6"/>
    <w:rsid w:val="00387B7B"/>
    <w:rsid w:val="00392CA3"/>
    <w:rsid w:val="00394631"/>
    <w:rsid w:val="00395180"/>
    <w:rsid w:val="003A000A"/>
    <w:rsid w:val="003A365E"/>
    <w:rsid w:val="003B063B"/>
    <w:rsid w:val="003B1DDB"/>
    <w:rsid w:val="003B3383"/>
    <w:rsid w:val="003B5E3A"/>
    <w:rsid w:val="003C15CA"/>
    <w:rsid w:val="003D2A7F"/>
    <w:rsid w:val="003D30D4"/>
    <w:rsid w:val="003D3D5C"/>
    <w:rsid w:val="003D563B"/>
    <w:rsid w:val="003D6EB6"/>
    <w:rsid w:val="003E0DFC"/>
    <w:rsid w:val="003E2F33"/>
    <w:rsid w:val="003F04CA"/>
    <w:rsid w:val="003F071F"/>
    <w:rsid w:val="003F66F5"/>
    <w:rsid w:val="00403388"/>
    <w:rsid w:val="004049DB"/>
    <w:rsid w:val="00405F84"/>
    <w:rsid w:val="00411FD9"/>
    <w:rsid w:val="0041205F"/>
    <w:rsid w:val="00415F3E"/>
    <w:rsid w:val="004173DA"/>
    <w:rsid w:val="004247B6"/>
    <w:rsid w:val="00425B35"/>
    <w:rsid w:val="00427768"/>
    <w:rsid w:val="00440405"/>
    <w:rsid w:val="00444296"/>
    <w:rsid w:val="00450694"/>
    <w:rsid w:val="00482E93"/>
    <w:rsid w:val="004914F0"/>
    <w:rsid w:val="004A2833"/>
    <w:rsid w:val="004A28B8"/>
    <w:rsid w:val="004A35FE"/>
    <w:rsid w:val="004A3CA0"/>
    <w:rsid w:val="004A4121"/>
    <w:rsid w:val="004A61DF"/>
    <w:rsid w:val="004A754E"/>
    <w:rsid w:val="004B079C"/>
    <w:rsid w:val="004B41FA"/>
    <w:rsid w:val="004B5DB5"/>
    <w:rsid w:val="004B70A8"/>
    <w:rsid w:val="004C134F"/>
    <w:rsid w:val="004C3D90"/>
    <w:rsid w:val="004D5D40"/>
    <w:rsid w:val="004D694F"/>
    <w:rsid w:val="004D7CC8"/>
    <w:rsid w:val="004E480F"/>
    <w:rsid w:val="004E4A9B"/>
    <w:rsid w:val="004E6677"/>
    <w:rsid w:val="004F6C49"/>
    <w:rsid w:val="00506763"/>
    <w:rsid w:val="00510CF9"/>
    <w:rsid w:val="0051260D"/>
    <w:rsid w:val="00517170"/>
    <w:rsid w:val="00520185"/>
    <w:rsid w:val="00527A07"/>
    <w:rsid w:val="00527D1F"/>
    <w:rsid w:val="005300E6"/>
    <w:rsid w:val="0053328E"/>
    <w:rsid w:val="005342B6"/>
    <w:rsid w:val="005354A4"/>
    <w:rsid w:val="005371A3"/>
    <w:rsid w:val="005423EA"/>
    <w:rsid w:val="005502BD"/>
    <w:rsid w:val="005629A6"/>
    <w:rsid w:val="00565805"/>
    <w:rsid w:val="005675D5"/>
    <w:rsid w:val="00570841"/>
    <w:rsid w:val="005711C3"/>
    <w:rsid w:val="0057662F"/>
    <w:rsid w:val="00576873"/>
    <w:rsid w:val="00591539"/>
    <w:rsid w:val="005A7926"/>
    <w:rsid w:val="005B0D4C"/>
    <w:rsid w:val="005B787C"/>
    <w:rsid w:val="005B7D8A"/>
    <w:rsid w:val="005C6114"/>
    <w:rsid w:val="005D3963"/>
    <w:rsid w:val="005D3F13"/>
    <w:rsid w:val="005D54DB"/>
    <w:rsid w:val="005E0516"/>
    <w:rsid w:val="005E0F55"/>
    <w:rsid w:val="005E4A5D"/>
    <w:rsid w:val="005E5655"/>
    <w:rsid w:val="005F2743"/>
    <w:rsid w:val="005F34BD"/>
    <w:rsid w:val="00600A5F"/>
    <w:rsid w:val="00614120"/>
    <w:rsid w:val="00630686"/>
    <w:rsid w:val="006335D7"/>
    <w:rsid w:val="006345A5"/>
    <w:rsid w:val="00636A73"/>
    <w:rsid w:val="00647ED5"/>
    <w:rsid w:val="006523C0"/>
    <w:rsid w:val="00652D86"/>
    <w:rsid w:val="00661E41"/>
    <w:rsid w:val="0066498D"/>
    <w:rsid w:val="00664BCD"/>
    <w:rsid w:val="00670007"/>
    <w:rsid w:val="00677382"/>
    <w:rsid w:val="006778CF"/>
    <w:rsid w:val="00685223"/>
    <w:rsid w:val="00685783"/>
    <w:rsid w:val="00691DA1"/>
    <w:rsid w:val="00693CBB"/>
    <w:rsid w:val="006958F7"/>
    <w:rsid w:val="00696F5B"/>
    <w:rsid w:val="006A115E"/>
    <w:rsid w:val="006A3713"/>
    <w:rsid w:val="006A42D3"/>
    <w:rsid w:val="006A6AA5"/>
    <w:rsid w:val="006B1EEC"/>
    <w:rsid w:val="006B397B"/>
    <w:rsid w:val="006B42FE"/>
    <w:rsid w:val="006C0842"/>
    <w:rsid w:val="006C3167"/>
    <w:rsid w:val="006D1675"/>
    <w:rsid w:val="006D3012"/>
    <w:rsid w:val="006D3FD0"/>
    <w:rsid w:val="006D5643"/>
    <w:rsid w:val="006D62F9"/>
    <w:rsid w:val="006E602B"/>
    <w:rsid w:val="006F0C11"/>
    <w:rsid w:val="0071156F"/>
    <w:rsid w:val="00713811"/>
    <w:rsid w:val="0071729B"/>
    <w:rsid w:val="0072093C"/>
    <w:rsid w:val="0072402D"/>
    <w:rsid w:val="00724A60"/>
    <w:rsid w:val="00725CF4"/>
    <w:rsid w:val="00736685"/>
    <w:rsid w:val="007403F6"/>
    <w:rsid w:val="00747586"/>
    <w:rsid w:val="0075105C"/>
    <w:rsid w:val="00753032"/>
    <w:rsid w:val="00753EB1"/>
    <w:rsid w:val="00757153"/>
    <w:rsid w:val="007572C0"/>
    <w:rsid w:val="00773817"/>
    <w:rsid w:val="00776A6E"/>
    <w:rsid w:val="00780F04"/>
    <w:rsid w:val="007810AD"/>
    <w:rsid w:val="007820B4"/>
    <w:rsid w:val="00786BC9"/>
    <w:rsid w:val="007872A0"/>
    <w:rsid w:val="0079389B"/>
    <w:rsid w:val="007A1DA4"/>
    <w:rsid w:val="007A252E"/>
    <w:rsid w:val="007B39F7"/>
    <w:rsid w:val="007B63CB"/>
    <w:rsid w:val="007C05B1"/>
    <w:rsid w:val="007C29DD"/>
    <w:rsid w:val="007C460C"/>
    <w:rsid w:val="007D028A"/>
    <w:rsid w:val="007D109A"/>
    <w:rsid w:val="007D19AD"/>
    <w:rsid w:val="007D6212"/>
    <w:rsid w:val="007D63F4"/>
    <w:rsid w:val="007D681E"/>
    <w:rsid w:val="007E1EE0"/>
    <w:rsid w:val="007E2D5A"/>
    <w:rsid w:val="007E5FEC"/>
    <w:rsid w:val="007E631E"/>
    <w:rsid w:val="007E6EB2"/>
    <w:rsid w:val="007F4C29"/>
    <w:rsid w:val="007F6124"/>
    <w:rsid w:val="008019C8"/>
    <w:rsid w:val="008054E4"/>
    <w:rsid w:val="00810034"/>
    <w:rsid w:val="00810438"/>
    <w:rsid w:val="00810BD4"/>
    <w:rsid w:val="008163E8"/>
    <w:rsid w:val="008174DE"/>
    <w:rsid w:val="00823EAD"/>
    <w:rsid w:val="00824297"/>
    <w:rsid w:val="00824D88"/>
    <w:rsid w:val="0082508C"/>
    <w:rsid w:val="00830AD5"/>
    <w:rsid w:val="00844C9D"/>
    <w:rsid w:val="0084587B"/>
    <w:rsid w:val="00850C14"/>
    <w:rsid w:val="00850E60"/>
    <w:rsid w:val="00863A56"/>
    <w:rsid w:val="00863BEF"/>
    <w:rsid w:val="00864AB4"/>
    <w:rsid w:val="00864BA5"/>
    <w:rsid w:val="0087077E"/>
    <w:rsid w:val="00880B7D"/>
    <w:rsid w:val="00883DAD"/>
    <w:rsid w:val="00884351"/>
    <w:rsid w:val="0088522E"/>
    <w:rsid w:val="00887C35"/>
    <w:rsid w:val="00887C6F"/>
    <w:rsid w:val="00891799"/>
    <w:rsid w:val="00893C64"/>
    <w:rsid w:val="008A34C2"/>
    <w:rsid w:val="008A7758"/>
    <w:rsid w:val="008B0381"/>
    <w:rsid w:val="008B6F12"/>
    <w:rsid w:val="008B7F86"/>
    <w:rsid w:val="008D1CCB"/>
    <w:rsid w:val="008D629D"/>
    <w:rsid w:val="008D6BA4"/>
    <w:rsid w:val="008D7BE5"/>
    <w:rsid w:val="008E19F4"/>
    <w:rsid w:val="008E3FBF"/>
    <w:rsid w:val="008E5993"/>
    <w:rsid w:val="008F2008"/>
    <w:rsid w:val="008F328F"/>
    <w:rsid w:val="008F3AC3"/>
    <w:rsid w:val="008F4538"/>
    <w:rsid w:val="00900854"/>
    <w:rsid w:val="009040C0"/>
    <w:rsid w:val="00911A48"/>
    <w:rsid w:val="009135AB"/>
    <w:rsid w:val="0092236A"/>
    <w:rsid w:val="00924F78"/>
    <w:rsid w:val="00925D4B"/>
    <w:rsid w:val="00927FB3"/>
    <w:rsid w:val="00934BF5"/>
    <w:rsid w:val="00934CF0"/>
    <w:rsid w:val="009373E7"/>
    <w:rsid w:val="00944169"/>
    <w:rsid w:val="00945664"/>
    <w:rsid w:val="00950837"/>
    <w:rsid w:val="00951ED1"/>
    <w:rsid w:val="0095359B"/>
    <w:rsid w:val="00957C94"/>
    <w:rsid w:val="00962E7D"/>
    <w:rsid w:val="0096371A"/>
    <w:rsid w:val="00965B97"/>
    <w:rsid w:val="00972677"/>
    <w:rsid w:val="00974C19"/>
    <w:rsid w:val="00975B80"/>
    <w:rsid w:val="00981111"/>
    <w:rsid w:val="009913A7"/>
    <w:rsid w:val="00992DB9"/>
    <w:rsid w:val="0099676A"/>
    <w:rsid w:val="009A28BB"/>
    <w:rsid w:val="009A3571"/>
    <w:rsid w:val="009B41A3"/>
    <w:rsid w:val="009B6494"/>
    <w:rsid w:val="009D3A79"/>
    <w:rsid w:val="009D3FA3"/>
    <w:rsid w:val="009D4ACB"/>
    <w:rsid w:val="009D6DC2"/>
    <w:rsid w:val="009E387A"/>
    <w:rsid w:val="009E6637"/>
    <w:rsid w:val="009F0B27"/>
    <w:rsid w:val="009F160A"/>
    <w:rsid w:val="009F724E"/>
    <w:rsid w:val="00A021D6"/>
    <w:rsid w:val="00A053AE"/>
    <w:rsid w:val="00A057BF"/>
    <w:rsid w:val="00A05E05"/>
    <w:rsid w:val="00A13920"/>
    <w:rsid w:val="00A14B87"/>
    <w:rsid w:val="00A14D46"/>
    <w:rsid w:val="00A1745E"/>
    <w:rsid w:val="00A1771B"/>
    <w:rsid w:val="00A2328A"/>
    <w:rsid w:val="00A237F6"/>
    <w:rsid w:val="00A303C7"/>
    <w:rsid w:val="00A30B5E"/>
    <w:rsid w:val="00A31F2A"/>
    <w:rsid w:val="00A3441A"/>
    <w:rsid w:val="00A367AD"/>
    <w:rsid w:val="00A373EF"/>
    <w:rsid w:val="00A44656"/>
    <w:rsid w:val="00A45227"/>
    <w:rsid w:val="00A5701D"/>
    <w:rsid w:val="00A74F60"/>
    <w:rsid w:val="00A75BE2"/>
    <w:rsid w:val="00A80F1F"/>
    <w:rsid w:val="00A9205A"/>
    <w:rsid w:val="00A946EF"/>
    <w:rsid w:val="00A97A10"/>
    <w:rsid w:val="00AA1AD4"/>
    <w:rsid w:val="00AA6821"/>
    <w:rsid w:val="00AB5402"/>
    <w:rsid w:val="00AB6FD5"/>
    <w:rsid w:val="00AB7020"/>
    <w:rsid w:val="00AB7594"/>
    <w:rsid w:val="00AC3355"/>
    <w:rsid w:val="00AC574C"/>
    <w:rsid w:val="00AC62C7"/>
    <w:rsid w:val="00AD2905"/>
    <w:rsid w:val="00AD2F73"/>
    <w:rsid w:val="00AE2255"/>
    <w:rsid w:val="00AE44FC"/>
    <w:rsid w:val="00AF2437"/>
    <w:rsid w:val="00AF3911"/>
    <w:rsid w:val="00AF3A2B"/>
    <w:rsid w:val="00AF7C81"/>
    <w:rsid w:val="00B02684"/>
    <w:rsid w:val="00B02E25"/>
    <w:rsid w:val="00B035DE"/>
    <w:rsid w:val="00B04679"/>
    <w:rsid w:val="00B0790F"/>
    <w:rsid w:val="00B07C3C"/>
    <w:rsid w:val="00B22369"/>
    <w:rsid w:val="00B27C79"/>
    <w:rsid w:val="00B30268"/>
    <w:rsid w:val="00B359C6"/>
    <w:rsid w:val="00B427CC"/>
    <w:rsid w:val="00B4577E"/>
    <w:rsid w:val="00B51F96"/>
    <w:rsid w:val="00B5589F"/>
    <w:rsid w:val="00B56A3B"/>
    <w:rsid w:val="00B63C94"/>
    <w:rsid w:val="00B74892"/>
    <w:rsid w:val="00B75A6B"/>
    <w:rsid w:val="00B767E0"/>
    <w:rsid w:val="00B82548"/>
    <w:rsid w:val="00B92F75"/>
    <w:rsid w:val="00B93F5F"/>
    <w:rsid w:val="00B96613"/>
    <w:rsid w:val="00BA1913"/>
    <w:rsid w:val="00BB2AE2"/>
    <w:rsid w:val="00BB2FE6"/>
    <w:rsid w:val="00BB3E0B"/>
    <w:rsid w:val="00BC1759"/>
    <w:rsid w:val="00BC191D"/>
    <w:rsid w:val="00BC7546"/>
    <w:rsid w:val="00BD3076"/>
    <w:rsid w:val="00BD561C"/>
    <w:rsid w:val="00BD58C2"/>
    <w:rsid w:val="00BD76EE"/>
    <w:rsid w:val="00BD7BE1"/>
    <w:rsid w:val="00BE1430"/>
    <w:rsid w:val="00BE210A"/>
    <w:rsid w:val="00BE3227"/>
    <w:rsid w:val="00BE7874"/>
    <w:rsid w:val="00BE7C07"/>
    <w:rsid w:val="00BF13D8"/>
    <w:rsid w:val="00BF28E3"/>
    <w:rsid w:val="00BF7451"/>
    <w:rsid w:val="00C02B38"/>
    <w:rsid w:val="00C0352F"/>
    <w:rsid w:val="00C0453B"/>
    <w:rsid w:val="00C04DF5"/>
    <w:rsid w:val="00C04FC0"/>
    <w:rsid w:val="00C073FB"/>
    <w:rsid w:val="00C15C76"/>
    <w:rsid w:val="00C16062"/>
    <w:rsid w:val="00C2074A"/>
    <w:rsid w:val="00C20E27"/>
    <w:rsid w:val="00C30B79"/>
    <w:rsid w:val="00C40E0F"/>
    <w:rsid w:val="00C411C2"/>
    <w:rsid w:val="00C50E8D"/>
    <w:rsid w:val="00C55570"/>
    <w:rsid w:val="00C55B60"/>
    <w:rsid w:val="00C5641A"/>
    <w:rsid w:val="00C60465"/>
    <w:rsid w:val="00C62D09"/>
    <w:rsid w:val="00C6305C"/>
    <w:rsid w:val="00C64842"/>
    <w:rsid w:val="00C70BCF"/>
    <w:rsid w:val="00C746F5"/>
    <w:rsid w:val="00C76E35"/>
    <w:rsid w:val="00C84792"/>
    <w:rsid w:val="00CA2768"/>
    <w:rsid w:val="00CA48AB"/>
    <w:rsid w:val="00CB5ABF"/>
    <w:rsid w:val="00CC2630"/>
    <w:rsid w:val="00CC6559"/>
    <w:rsid w:val="00CD17CE"/>
    <w:rsid w:val="00CD1E9C"/>
    <w:rsid w:val="00CD39A5"/>
    <w:rsid w:val="00CE0E5B"/>
    <w:rsid w:val="00CE2D6E"/>
    <w:rsid w:val="00D04198"/>
    <w:rsid w:val="00D14493"/>
    <w:rsid w:val="00D15D80"/>
    <w:rsid w:val="00D20FA6"/>
    <w:rsid w:val="00D23883"/>
    <w:rsid w:val="00D24ECB"/>
    <w:rsid w:val="00D25E51"/>
    <w:rsid w:val="00D37991"/>
    <w:rsid w:val="00D44E21"/>
    <w:rsid w:val="00D50041"/>
    <w:rsid w:val="00D50FF3"/>
    <w:rsid w:val="00D64E3A"/>
    <w:rsid w:val="00D658DE"/>
    <w:rsid w:val="00D8077E"/>
    <w:rsid w:val="00D844D2"/>
    <w:rsid w:val="00D90128"/>
    <w:rsid w:val="00D91F98"/>
    <w:rsid w:val="00D92AE6"/>
    <w:rsid w:val="00DA03A3"/>
    <w:rsid w:val="00DA12E2"/>
    <w:rsid w:val="00DA51AD"/>
    <w:rsid w:val="00DB03D8"/>
    <w:rsid w:val="00DB304C"/>
    <w:rsid w:val="00DB3400"/>
    <w:rsid w:val="00DC5872"/>
    <w:rsid w:val="00DD2306"/>
    <w:rsid w:val="00DD4504"/>
    <w:rsid w:val="00DF2E67"/>
    <w:rsid w:val="00DF7396"/>
    <w:rsid w:val="00E0755C"/>
    <w:rsid w:val="00E07E01"/>
    <w:rsid w:val="00E102FB"/>
    <w:rsid w:val="00E13E23"/>
    <w:rsid w:val="00E14D00"/>
    <w:rsid w:val="00E27F57"/>
    <w:rsid w:val="00E36BBF"/>
    <w:rsid w:val="00E416B0"/>
    <w:rsid w:val="00E50145"/>
    <w:rsid w:val="00E63546"/>
    <w:rsid w:val="00E663F4"/>
    <w:rsid w:val="00E70004"/>
    <w:rsid w:val="00E72FF3"/>
    <w:rsid w:val="00E756F1"/>
    <w:rsid w:val="00E7584C"/>
    <w:rsid w:val="00E7633A"/>
    <w:rsid w:val="00E77D54"/>
    <w:rsid w:val="00E82578"/>
    <w:rsid w:val="00E91E46"/>
    <w:rsid w:val="00E95EC4"/>
    <w:rsid w:val="00EA1876"/>
    <w:rsid w:val="00EA3880"/>
    <w:rsid w:val="00EA4E25"/>
    <w:rsid w:val="00EB033B"/>
    <w:rsid w:val="00EB260A"/>
    <w:rsid w:val="00EB2D77"/>
    <w:rsid w:val="00EB3E86"/>
    <w:rsid w:val="00EB7EDE"/>
    <w:rsid w:val="00EC57D8"/>
    <w:rsid w:val="00EC5DA0"/>
    <w:rsid w:val="00EC61C1"/>
    <w:rsid w:val="00ED1DAA"/>
    <w:rsid w:val="00ED3D3D"/>
    <w:rsid w:val="00EF25C9"/>
    <w:rsid w:val="00EF365E"/>
    <w:rsid w:val="00F05744"/>
    <w:rsid w:val="00F12BDD"/>
    <w:rsid w:val="00F13114"/>
    <w:rsid w:val="00F14B93"/>
    <w:rsid w:val="00F14E8D"/>
    <w:rsid w:val="00F1551D"/>
    <w:rsid w:val="00F215FF"/>
    <w:rsid w:val="00F21F6A"/>
    <w:rsid w:val="00F22D7C"/>
    <w:rsid w:val="00F24DA0"/>
    <w:rsid w:val="00F2557D"/>
    <w:rsid w:val="00F25D32"/>
    <w:rsid w:val="00F27C12"/>
    <w:rsid w:val="00F37DF5"/>
    <w:rsid w:val="00F516E7"/>
    <w:rsid w:val="00F51BD8"/>
    <w:rsid w:val="00F55EC6"/>
    <w:rsid w:val="00F56F0D"/>
    <w:rsid w:val="00F5713A"/>
    <w:rsid w:val="00F61B6C"/>
    <w:rsid w:val="00F65D29"/>
    <w:rsid w:val="00F71C1F"/>
    <w:rsid w:val="00F75149"/>
    <w:rsid w:val="00F904A2"/>
    <w:rsid w:val="00F9229C"/>
    <w:rsid w:val="00F94FD2"/>
    <w:rsid w:val="00FA1365"/>
    <w:rsid w:val="00FB028B"/>
    <w:rsid w:val="00FB5E99"/>
    <w:rsid w:val="00FB7522"/>
    <w:rsid w:val="00FC2CEC"/>
    <w:rsid w:val="00FC3531"/>
    <w:rsid w:val="00FD0D30"/>
    <w:rsid w:val="00FE0EC4"/>
    <w:rsid w:val="00FE2CFD"/>
    <w:rsid w:val="00FF0CAF"/>
    <w:rsid w:val="00FF1F89"/>
    <w:rsid w:val="00FF3FD7"/>
    <w:rsid w:val="00FF6D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8E77999"/>
  <w15:docId w15:val="{935FF6C9-5235-451D-BC9D-486B7133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73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20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0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C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C4"/>
    <w:rPr>
      <w:rFonts w:ascii="Arial" w:hAnsi="Arial"/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E0E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E0EC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E0E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EC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D04198"/>
    <w:pPr>
      <w:tabs>
        <w:tab w:val="right" w:leader="dot" w:pos="9854"/>
      </w:tabs>
      <w:spacing w:after="100"/>
      <w:ind w:left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0EC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EC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FE0EC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20F25"/>
    <w:rPr>
      <w:color w:val="605E5C"/>
      <w:shd w:val="clear" w:color="auto" w:fill="E1DFDD"/>
    </w:rPr>
  </w:style>
  <w:style w:type="character" w:customStyle="1" w:styleId="highwire-cite-article-as">
    <w:name w:val="highwire-cite-article-as"/>
    <w:basedOn w:val="DefaultParagraphFont"/>
    <w:rsid w:val="007E631E"/>
  </w:style>
  <w:style w:type="character" w:customStyle="1" w:styleId="italic">
    <w:name w:val="italic"/>
    <w:basedOn w:val="DefaultParagraphFont"/>
    <w:rsid w:val="007E631E"/>
  </w:style>
  <w:style w:type="character" w:customStyle="1" w:styleId="element-citation">
    <w:name w:val="element-citation"/>
    <w:basedOn w:val="DefaultParagraphFont"/>
    <w:rsid w:val="007E631E"/>
  </w:style>
  <w:style w:type="character" w:customStyle="1" w:styleId="ref-journal">
    <w:name w:val="ref-journal"/>
    <w:basedOn w:val="DefaultParagraphFont"/>
    <w:rsid w:val="007E631E"/>
  </w:style>
  <w:style w:type="paragraph" w:customStyle="1" w:styleId="Default">
    <w:name w:val="Default"/>
    <w:rsid w:val="00D20F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unhideWhenUsed/>
    <w:rsid w:val="00CC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506763"/>
    <w:rPr>
      <w:rFonts w:cs="Lato"/>
      <w:color w:val="000000"/>
      <w:sz w:val="18"/>
      <w:szCs w:val="18"/>
    </w:rPr>
  </w:style>
  <w:style w:type="character" w:customStyle="1" w:styleId="A11">
    <w:name w:val="A11"/>
    <w:uiPriority w:val="99"/>
    <w:rsid w:val="00506763"/>
    <w:rPr>
      <w:rFonts w:cs="Lato"/>
      <w:color w:val="000000"/>
      <w:sz w:val="18"/>
      <w:szCs w:val="18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5713A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BD7BE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D3A7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0694"/>
    <w:rPr>
      <w:color w:val="808080"/>
    </w:rPr>
  </w:style>
  <w:style w:type="paragraph" w:styleId="Revision">
    <w:name w:val="Revision"/>
    <w:hidden/>
    <w:uiPriority w:val="99"/>
    <w:semiHidden/>
    <w:rsid w:val="00DA12E2"/>
    <w:rPr>
      <w:rFonts w:ascii="Arial" w:hAnsi="Arial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5C5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C58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5C58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BC1759"/>
    <w:pPr>
      <w:spacing w:line="241" w:lineRule="atLeast"/>
    </w:pPr>
    <w:rPr>
      <w:rFonts w:ascii="Lato" w:hAnsi="Lato" w:cs="Times New Roman"/>
      <w:color w:val="auto"/>
    </w:rPr>
  </w:style>
  <w:style w:type="character" w:customStyle="1" w:styleId="A8">
    <w:name w:val="A8"/>
    <w:uiPriority w:val="99"/>
    <w:rsid w:val="00BC1759"/>
    <w:rPr>
      <w:rFonts w:cs="Lato"/>
      <w:color w:val="000000"/>
      <w:sz w:val="10"/>
      <w:szCs w:val="10"/>
    </w:rPr>
  </w:style>
  <w:style w:type="character" w:customStyle="1" w:styleId="apple-tab-span">
    <w:name w:val="apple-tab-span"/>
    <w:basedOn w:val="DefaultParagraphFont"/>
    <w:rsid w:val="001D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cqipp.info/our-resources/webkits/antimicrobial-stewardship/" TargetMode="External"/><Relationship Id="rId13" Type="http://schemas.openxmlformats.org/officeDocument/2006/relationships/hyperlink" Target="https://www.bashh.org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about/what-we-do/our-programmes/nice-guidance/antimicrobial-prescribing-guidelines" TargetMode="External"/><Relationship Id="rId17" Type="http://schemas.openxmlformats.org/officeDocument/2006/relationships/hyperlink" Target="https://phw.nhs.wales/services-and-teams/harp/urinary-tract-infection-uti-resources-and-tools/uti-downloads/wales-qi-uti-prophylaxis-3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about/what-we-do/our-programmes/nice-guidance/antimicrobial-prescribing-guidelines" TargetMode="External"/><Relationship Id="rId20" Type="http://schemas.openxmlformats.org/officeDocument/2006/relationships/hyperlink" Target="https://fingertips.phe.org.uk/amr-local-indicato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rcgp.org.uk/TARGETantibiotic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prescqipp.info/our-resources/webkits/antimicrobial-stewardship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ice.org.uk/Media/Default/About/what-we-do/NICE-guidance/antimicrobial%20guidance/summary-antimicrobial-prescribing-guidance.pdf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publications/uk-5-year-action-plan-for-antimicrobial-resistance-2019-to-2024" TargetMode="External"/><Relationship Id="rId2" Type="http://schemas.openxmlformats.org/officeDocument/2006/relationships/hyperlink" Target="https://www.gov.uk/government/publications/english-surveillance-programme-antimicrobial-utilisation-and-resistance-espaur-report" TargetMode="External"/><Relationship Id="rId1" Type="http://schemas.openxmlformats.org/officeDocument/2006/relationships/hyperlink" Target="http://www.nice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/>
              <a:t>Figure 1: Percentage of appropriate co-amoxiclav prescribing according to guidelines March-July 2020</a:t>
            </a:r>
            <a:r>
              <a:rPr lang="en-GB"/>
              <a:t> </a:t>
            </a:r>
          </a:p>
        </c:rich>
      </c:tx>
      <c:layout>
        <c:manualLayout>
          <c:xMode val="edge"/>
          <c:yMode val="edge"/>
          <c:x val="9.8951048951048962E-2"/>
          <c:y val="4.3377741948187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153065012795163"/>
          <c:y val="0.30621693121693117"/>
          <c:w val="0.85782004391816513"/>
          <c:h val="0.5279537974419864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March</c:v>
                </c:pt>
                <c:pt idx="1">
                  <c:v>April </c:v>
                </c:pt>
                <c:pt idx="2">
                  <c:v>May </c:v>
                </c:pt>
                <c:pt idx="3">
                  <c:v>June </c:v>
                </c:pt>
                <c:pt idx="4">
                  <c:v>July</c:v>
                </c:pt>
                <c:pt idx="5">
                  <c:v>August</c:v>
                </c:pt>
                <c:pt idx="6">
                  <c:v>Sept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15</c:v>
                </c:pt>
                <c:pt idx="1">
                  <c:v>13</c:v>
                </c:pt>
                <c:pt idx="2">
                  <c:v>17</c:v>
                </c:pt>
                <c:pt idx="3">
                  <c:v>12</c:v>
                </c:pt>
                <c:pt idx="4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99-4D03-A984-C433D21ACC7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Appropriate according to guidelines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March</c:v>
                </c:pt>
                <c:pt idx="1">
                  <c:v>April </c:v>
                </c:pt>
                <c:pt idx="2">
                  <c:v>May </c:v>
                </c:pt>
                <c:pt idx="3">
                  <c:v>June </c:v>
                </c:pt>
                <c:pt idx="4">
                  <c:v>July</c:v>
                </c:pt>
                <c:pt idx="5">
                  <c:v>August</c:v>
                </c:pt>
                <c:pt idx="6">
                  <c:v>Sept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10</c:v>
                </c:pt>
                <c:pt idx="1">
                  <c:v>9</c:v>
                </c:pt>
                <c:pt idx="2">
                  <c:v>13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99-4D03-A984-C433D21ACC7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March</c:v>
                </c:pt>
                <c:pt idx="1">
                  <c:v>April </c:v>
                </c:pt>
                <c:pt idx="2">
                  <c:v>May </c:v>
                </c:pt>
                <c:pt idx="3">
                  <c:v>June </c:v>
                </c:pt>
                <c:pt idx="4">
                  <c:v>July</c:v>
                </c:pt>
                <c:pt idx="5">
                  <c:v>August</c:v>
                </c:pt>
                <c:pt idx="6">
                  <c:v>Sept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99-4D03-A984-C433D21AC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3566128"/>
        <c:axId val="383562520"/>
      </c:lineChart>
      <c:catAx>
        <c:axId val="38356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3562520"/>
        <c:crosses val="autoZero"/>
        <c:auto val="1"/>
        <c:lblAlgn val="ctr"/>
        <c:lblOffset val="100"/>
        <c:noMultiLvlLbl val="0"/>
      </c:catAx>
      <c:valAx>
        <c:axId val="38356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356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56542959364470924"/>
          <c:y val="0.62264943994676736"/>
          <c:w val="0.40551835963693006"/>
          <c:h val="0.1512904636920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2AC5-AFBA-4A20-8075-A811BB0B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13955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Public Health England Publications</dc:creator>
  <cp:lastModifiedBy>Eirwen Sides</cp:lastModifiedBy>
  <cp:revision>5</cp:revision>
  <cp:lastPrinted>2023-02-08T14:29:00Z</cp:lastPrinted>
  <dcterms:created xsi:type="dcterms:W3CDTF">2023-03-22T11:00:00Z</dcterms:created>
  <dcterms:modified xsi:type="dcterms:W3CDTF">2023-03-24T14:17:00Z</dcterms:modified>
</cp:coreProperties>
</file>