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9068" w14:textId="3CECBBB1" w:rsidR="003E2092" w:rsidRPr="00B813E8" w:rsidRDefault="003E2092" w:rsidP="003E2092">
      <w:pPr>
        <w:spacing w:after="120"/>
        <w:jc w:val="center"/>
        <w:rPr>
          <w:rFonts w:eastAsia="Calibri" w:cs="Arial"/>
          <w:b/>
          <w:bCs/>
          <w:color w:val="AF1E2C"/>
          <w:sz w:val="28"/>
          <w:szCs w:val="26"/>
        </w:rPr>
      </w:pPr>
      <w:r w:rsidRPr="003E2092">
        <w:rPr>
          <w:rFonts w:eastAsiaTheme="majorEastAsia" w:cs="Arial"/>
          <w:b/>
          <w:bCs/>
          <w:noProof/>
          <w:color w:val="AF1E2C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3D28FF8" wp14:editId="4A558316">
            <wp:simplePos x="0" y="0"/>
            <wp:positionH relativeFrom="column">
              <wp:posOffset>-6350</wp:posOffset>
            </wp:positionH>
            <wp:positionV relativeFrom="paragraph">
              <wp:posOffset>-218440</wp:posOffset>
            </wp:positionV>
            <wp:extent cx="888365" cy="1053465"/>
            <wp:effectExtent l="0" t="0" r="698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3E8">
        <w:rPr>
          <w:rFonts w:eastAsia="Calibri" w:cs="Arial"/>
          <w:b/>
          <w:bCs/>
          <w:color w:val="AF1E2C"/>
          <w:sz w:val="28"/>
          <w:szCs w:val="26"/>
        </w:rPr>
        <w:t>Antibiotic Prescribing in Primary Care</w:t>
      </w:r>
    </w:p>
    <w:p w14:paraId="0902C851" w14:textId="60F8E186" w:rsidR="003E2092" w:rsidRPr="00B813E8" w:rsidRDefault="003E2092" w:rsidP="003E2092">
      <w:pPr>
        <w:spacing w:after="120" w:line="240" w:lineRule="auto"/>
        <w:jc w:val="center"/>
        <w:rPr>
          <w:rFonts w:eastAsia="Calibri" w:cs="Arial"/>
          <w:b/>
          <w:bCs/>
          <w:color w:val="AF1E2C"/>
          <w:sz w:val="28"/>
          <w:szCs w:val="26"/>
        </w:rPr>
      </w:pPr>
      <w:r w:rsidRPr="00B813E8">
        <w:rPr>
          <w:rFonts w:eastAsia="Calibri" w:cs="Arial"/>
          <w:b/>
          <w:bCs/>
          <w:color w:val="AF1E2C"/>
          <w:sz w:val="28"/>
          <w:szCs w:val="26"/>
        </w:rPr>
        <w:t>ACUTE SINUSITIS Audit</w:t>
      </w:r>
    </w:p>
    <w:p w14:paraId="5FE9CF43" w14:textId="77777777" w:rsidR="003E2092" w:rsidRDefault="003E2092" w:rsidP="00254940">
      <w:pPr>
        <w:keepNext/>
        <w:keepLines/>
        <w:spacing w:after="80" w:line="240" w:lineRule="auto"/>
        <w:outlineLvl w:val="0"/>
        <w:rPr>
          <w:rFonts w:eastAsiaTheme="majorEastAsia" w:cs="Arial"/>
          <w:b/>
          <w:bCs/>
          <w:color w:val="AF1E2C"/>
          <w:sz w:val="26"/>
          <w:szCs w:val="26"/>
        </w:rPr>
      </w:pPr>
    </w:p>
    <w:p w14:paraId="36B1453A" w14:textId="77777777" w:rsidR="003E2092" w:rsidRDefault="003E2092" w:rsidP="00254940">
      <w:pPr>
        <w:keepNext/>
        <w:keepLines/>
        <w:spacing w:after="80" w:line="240" w:lineRule="auto"/>
        <w:outlineLvl w:val="0"/>
        <w:rPr>
          <w:rFonts w:eastAsiaTheme="majorEastAsia" w:cs="Arial"/>
          <w:b/>
          <w:bCs/>
          <w:color w:val="AF1E2C"/>
          <w:sz w:val="26"/>
          <w:szCs w:val="26"/>
        </w:rPr>
      </w:pPr>
    </w:p>
    <w:p w14:paraId="7440C7DC" w14:textId="27C11E39" w:rsidR="00254940" w:rsidRPr="00B813E8" w:rsidRDefault="00254940" w:rsidP="00254940">
      <w:pPr>
        <w:keepNext/>
        <w:keepLines/>
        <w:spacing w:after="80" w:line="240" w:lineRule="auto"/>
        <w:outlineLvl w:val="0"/>
        <w:rPr>
          <w:rFonts w:eastAsiaTheme="majorEastAsia" w:cs="Arial"/>
          <w:b/>
          <w:bCs/>
          <w:color w:val="AF1E2C"/>
          <w:sz w:val="26"/>
          <w:szCs w:val="26"/>
        </w:rPr>
      </w:pPr>
      <w:r w:rsidRPr="00B813E8">
        <w:rPr>
          <w:rFonts w:eastAsiaTheme="majorEastAsia" w:cs="Arial"/>
          <w:b/>
          <w:bCs/>
          <w:color w:val="AF1E2C"/>
          <w:sz w:val="26"/>
          <w:szCs w:val="26"/>
        </w:rPr>
        <w:t xml:space="preserve">Background </w:t>
      </w:r>
    </w:p>
    <w:p w14:paraId="744046A5" w14:textId="77777777" w:rsidR="00254940" w:rsidRPr="00254940" w:rsidRDefault="00254940" w:rsidP="00254940">
      <w:pPr>
        <w:spacing w:after="0"/>
        <w:rPr>
          <w:rFonts w:cs="Arial"/>
        </w:rPr>
      </w:pPr>
      <w:r w:rsidRPr="00254940">
        <w:rPr>
          <w:rFonts w:cs="Arial"/>
        </w:rPr>
        <w:t xml:space="preserve">NICE define acute rhinosinusitis as the sudden onset of two or more symptoms, one should be either nasal blockage/obstruction/congestion or nasal discharge (anterior/posterior nasal drip): </w:t>
      </w:r>
    </w:p>
    <w:p w14:paraId="60E30E38" w14:textId="77777777" w:rsidR="00254940" w:rsidRPr="00254940" w:rsidRDefault="00254940" w:rsidP="00254940">
      <w:pPr>
        <w:spacing w:afterLines="80" w:after="192"/>
        <w:contextualSpacing/>
        <w:rPr>
          <w:rFonts w:cs="Arial"/>
        </w:rPr>
      </w:pPr>
      <w:r w:rsidRPr="00254940">
        <w:rPr>
          <w:rFonts w:cs="Arial"/>
        </w:rPr>
        <w:tab/>
        <w:t>+/- Facial pain/pressure</w:t>
      </w:r>
    </w:p>
    <w:p w14:paraId="01A551F0" w14:textId="77777777" w:rsidR="00254940" w:rsidRPr="00254940" w:rsidRDefault="00254940" w:rsidP="00254940">
      <w:pPr>
        <w:spacing w:afterLines="80" w:after="192"/>
        <w:rPr>
          <w:rFonts w:cs="Arial"/>
        </w:rPr>
      </w:pPr>
      <w:r w:rsidRPr="00254940">
        <w:rPr>
          <w:rFonts w:cs="Arial"/>
        </w:rPr>
        <w:tab/>
        <w:t xml:space="preserve">+/- Reduction/loss of smell in adults </w:t>
      </w:r>
      <w:r w:rsidRPr="00254940">
        <w:rPr>
          <w:rFonts w:cs="Arial"/>
          <w:u w:val="single"/>
        </w:rPr>
        <w:t>OR</w:t>
      </w:r>
      <w:r w:rsidRPr="00254940">
        <w:rPr>
          <w:rFonts w:cs="Arial"/>
        </w:rPr>
        <w:t xml:space="preserve"> +/- cough in children </w:t>
      </w:r>
    </w:p>
    <w:p w14:paraId="3E4524A0" w14:textId="1EA7F0A4" w:rsidR="00254940" w:rsidRPr="00254940" w:rsidRDefault="00254940" w:rsidP="00254940">
      <w:pPr>
        <w:spacing w:afterLines="80" w:after="192"/>
        <w:rPr>
          <w:rFonts w:cs="Arial"/>
        </w:rPr>
      </w:pPr>
      <w:proofErr w:type="gramStart"/>
      <w:r w:rsidRPr="00254940">
        <w:rPr>
          <w:rFonts w:cs="Arial"/>
        </w:rPr>
        <w:t>The majority of</w:t>
      </w:r>
      <w:proofErr w:type="gramEnd"/>
      <w:r w:rsidRPr="00254940">
        <w:rPr>
          <w:rFonts w:cs="Arial"/>
        </w:rPr>
        <w:t xml:space="preserve"> acute cases are viral; less than 2% are bacterial</w:t>
      </w:r>
      <w:r w:rsidR="00570BEE">
        <w:rPr>
          <w:rFonts w:cs="Arial"/>
          <w:vertAlign w:val="superscript"/>
        </w:rPr>
        <w:t>1</w:t>
      </w:r>
      <w:r w:rsidRPr="00254940">
        <w:rPr>
          <w:rFonts w:cs="Arial"/>
        </w:rPr>
        <w:t xml:space="preserve">. </w:t>
      </w:r>
    </w:p>
    <w:p w14:paraId="7D9AF00E" w14:textId="226AD501" w:rsidR="00254940" w:rsidRPr="00254940" w:rsidRDefault="00254940" w:rsidP="00254940">
      <w:pPr>
        <w:numPr>
          <w:ilvl w:val="0"/>
          <w:numId w:val="12"/>
        </w:numPr>
        <w:spacing w:after="0"/>
        <w:ind w:left="284" w:hanging="284"/>
        <w:rPr>
          <w:rFonts w:cs="Arial"/>
        </w:rPr>
      </w:pPr>
      <w:r w:rsidRPr="00254940">
        <w:rPr>
          <w:rFonts w:cs="Arial"/>
        </w:rPr>
        <w:t>Rhinosinusitis is defined as chronic if symptoms are present for over 12 weeks</w:t>
      </w:r>
      <w:r w:rsidR="00570BEE">
        <w:rPr>
          <w:rFonts w:cs="Arial"/>
          <w:vertAlign w:val="superscript"/>
        </w:rPr>
        <w:t>2</w:t>
      </w:r>
      <w:r w:rsidRPr="00254940">
        <w:rPr>
          <w:rFonts w:cs="Arial"/>
        </w:rPr>
        <w:t xml:space="preserve">.     </w:t>
      </w:r>
    </w:p>
    <w:p w14:paraId="3BF83DE6" w14:textId="77777777" w:rsidR="00254940" w:rsidRPr="00254940" w:rsidRDefault="00254940" w:rsidP="0025494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rPr>
          <w:rFonts w:cs="Arial"/>
          <w:color w:val="000000"/>
        </w:rPr>
      </w:pPr>
      <w:r w:rsidRPr="00254940">
        <w:rPr>
          <w:rFonts w:cs="Arial"/>
          <w:color w:val="000000"/>
        </w:rPr>
        <w:t xml:space="preserve">Severe complications of ARS involving the brain or orbital structures are rare, but when observed are usually seen in the paediatric population. </w:t>
      </w:r>
    </w:p>
    <w:p w14:paraId="3D6B814A" w14:textId="77777777" w:rsidR="00254940" w:rsidRPr="00254940" w:rsidRDefault="00254940" w:rsidP="0025494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rPr>
          <w:rFonts w:cs="Arial"/>
          <w:color w:val="000000"/>
        </w:rPr>
      </w:pPr>
      <w:r w:rsidRPr="00254940">
        <w:rPr>
          <w:rFonts w:cs="Arial"/>
          <w:color w:val="000000"/>
        </w:rPr>
        <w:t xml:space="preserve">Red flag symptoms/signs that should prompt immediate referral include all patients with a displaced orbit, double vision, </w:t>
      </w:r>
      <w:proofErr w:type="spellStart"/>
      <w:r w:rsidRPr="00254940">
        <w:rPr>
          <w:rFonts w:cs="Arial"/>
          <w:color w:val="000000"/>
        </w:rPr>
        <w:t>opthalmoplegia</w:t>
      </w:r>
      <w:proofErr w:type="spellEnd"/>
      <w:r w:rsidRPr="00254940">
        <w:rPr>
          <w:rFonts w:cs="Arial"/>
          <w:color w:val="000000"/>
        </w:rPr>
        <w:t>, periorbital oedema, frontal swelling or signs of meningitis</w:t>
      </w:r>
      <w:r w:rsidRPr="00254940">
        <w:rPr>
          <w:rFonts w:cs="Arial"/>
          <w:color w:val="000000"/>
          <w:vertAlign w:val="superscript"/>
        </w:rPr>
        <w:t>3</w:t>
      </w:r>
      <w:r w:rsidRPr="00254940">
        <w:rPr>
          <w:rFonts w:cs="Arial"/>
          <w:color w:val="000000"/>
        </w:rPr>
        <w:t>.</w:t>
      </w:r>
    </w:p>
    <w:p w14:paraId="604BBA77" w14:textId="77777777" w:rsidR="00254940" w:rsidRPr="00254940" w:rsidRDefault="00254940" w:rsidP="00254940">
      <w:pPr>
        <w:keepNext/>
        <w:keepLines/>
        <w:spacing w:afterLines="80" w:after="192"/>
        <w:contextualSpacing/>
        <w:jc w:val="center"/>
        <w:outlineLvl w:val="0"/>
        <w:rPr>
          <w:rFonts w:eastAsiaTheme="majorEastAsia" w:cs="Arial"/>
          <w:b/>
          <w:bCs/>
          <w:color w:val="365F91" w:themeColor="accent1" w:themeShade="BF"/>
          <w:sz w:val="26"/>
          <w:szCs w:val="26"/>
          <w:u w:val="single"/>
        </w:rPr>
      </w:pPr>
    </w:p>
    <w:p w14:paraId="543D451D" w14:textId="77777777" w:rsidR="00254940" w:rsidRPr="00B813E8" w:rsidRDefault="00254940" w:rsidP="00254940">
      <w:pPr>
        <w:keepNext/>
        <w:keepLines/>
        <w:spacing w:after="80" w:line="240" w:lineRule="auto"/>
        <w:outlineLvl w:val="0"/>
        <w:rPr>
          <w:rFonts w:eastAsiaTheme="majorEastAsia" w:cs="Arial"/>
          <w:b/>
          <w:bCs/>
          <w:color w:val="AF1E2C"/>
          <w:sz w:val="26"/>
          <w:szCs w:val="26"/>
        </w:rPr>
      </w:pPr>
      <w:r w:rsidRPr="00B813E8">
        <w:rPr>
          <w:rFonts w:eastAsiaTheme="majorEastAsia" w:cs="Arial"/>
          <w:b/>
          <w:bCs/>
          <w:color w:val="AF1E2C"/>
          <w:sz w:val="26"/>
          <w:szCs w:val="26"/>
        </w:rPr>
        <w:t xml:space="preserve">Aim </w:t>
      </w:r>
    </w:p>
    <w:p w14:paraId="4D915A3A" w14:textId="77777777" w:rsidR="00254940" w:rsidRPr="00254940" w:rsidRDefault="00254940" w:rsidP="00254940">
      <w:pPr>
        <w:autoSpaceDE w:val="0"/>
        <w:autoSpaceDN w:val="0"/>
        <w:adjustRightInd w:val="0"/>
        <w:spacing w:afterLines="80" w:after="192"/>
        <w:contextualSpacing/>
        <w:rPr>
          <w:rFonts w:cs="Arial"/>
          <w:color w:val="000000"/>
        </w:rPr>
      </w:pPr>
      <w:r w:rsidRPr="00254940">
        <w:rPr>
          <w:rFonts w:cs="Arial"/>
          <w:color w:val="000000"/>
        </w:rPr>
        <w:t xml:space="preserve">To evaluate antibiotic prescribing for acute rhinosinusitis against </w:t>
      </w:r>
    </w:p>
    <w:p w14:paraId="5C3F441A" w14:textId="0F3F2D01" w:rsidR="00254940" w:rsidRPr="00254940" w:rsidRDefault="00526DA2" w:rsidP="00254940">
      <w:pPr>
        <w:numPr>
          <w:ilvl w:val="0"/>
          <w:numId w:val="11"/>
        </w:numPr>
        <w:autoSpaceDE w:val="0"/>
        <w:autoSpaceDN w:val="0"/>
        <w:adjustRightInd w:val="0"/>
        <w:spacing w:afterLines="80" w:after="192"/>
        <w:ind w:left="426" w:hanging="426"/>
        <w:contextualSpacing/>
        <w:rPr>
          <w:rFonts w:cs="Arial"/>
          <w:bCs/>
        </w:rPr>
      </w:pPr>
      <w:hyperlink r:id="rId8" w:history="1">
        <w:r w:rsidR="00254940" w:rsidRPr="00A7768B">
          <w:rPr>
            <w:rStyle w:val="Hyperlink"/>
            <w:rFonts w:ascii="Arial" w:hAnsi="Arial" w:cs="Arial"/>
            <w:b/>
            <w:i/>
          </w:rPr>
          <w:t>NICE Guidelines CG69</w:t>
        </w:r>
        <w:r w:rsidR="00A26E44">
          <w:rPr>
            <w:rStyle w:val="Hyperlink"/>
            <w:rFonts w:ascii="Arial" w:hAnsi="Arial" w:cs="Arial"/>
            <w:vertAlign w:val="superscript"/>
          </w:rPr>
          <w:t>4</w:t>
        </w:r>
      </w:hyperlink>
      <w:r w:rsidR="00254940" w:rsidRPr="00254940">
        <w:rPr>
          <w:rFonts w:cs="Arial"/>
          <w:i/>
        </w:rPr>
        <w:t>:</w:t>
      </w:r>
      <w:r w:rsidR="00254940" w:rsidRPr="00254940">
        <w:rPr>
          <w:rFonts w:cs="Arial"/>
        </w:rPr>
        <w:t xml:space="preserve"> </w:t>
      </w:r>
      <w:r w:rsidR="00254940" w:rsidRPr="00254940">
        <w:rPr>
          <w:rFonts w:cs="Arial"/>
          <w:iCs/>
        </w:rPr>
        <w:t xml:space="preserve">Respiratory tract infections-antibiotic prescribing: Prescribing of antibiotics for self-limiting respiratory tract infections in adults and children in primary care, </w:t>
      </w:r>
    </w:p>
    <w:p w14:paraId="02247BE8" w14:textId="09CC9228" w:rsidR="00254940" w:rsidRPr="00254940" w:rsidRDefault="00526DA2" w:rsidP="00254940">
      <w:pPr>
        <w:numPr>
          <w:ilvl w:val="0"/>
          <w:numId w:val="11"/>
        </w:numPr>
        <w:autoSpaceDE w:val="0"/>
        <w:autoSpaceDN w:val="0"/>
        <w:adjustRightInd w:val="0"/>
        <w:spacing w:afterLines="80" w:after="192"/>
        <w:ind w:left="426" w:hanging="426"/>
        <w:contextualSpacing/>
        <w:rPr>
          <w:rFonts w:cs="Arial"/>
          <w:bCs/>
        </w:rPr>
      </w:pPr>
      <w:hyperlink r:id="rId9" w:history="1">
        <w:r w:rsidR="00254940" w:rsidRPr="00570BEE">
          <w:rPr>
            <w:rStyle w:val="Hyperlink"/>
            <w:rFonts w:ascii="Arial" w:hAnsi="Arial" w:cs="Arial"/>
            <w:b/>
            <w:i/>
            <w:iCs/>
          </w:rPr>
          <w:t>Public Health England (PHE)</w:t>
        </w:r>
      </w:hyperlink>
      <w:r w:rsidR="00A26E44">
        <w:rPr>
          <w:rFonts w:cs="Arial"/>
          <w:iCs/>
          <w:vertAlign w:val="superscript"/>
        </w:rPr>
        <w:t>5</w:t>
      </w:r>
      <w:r w:rsidR="00254940" w:rsidRPr="00254940">
        <w:rPr>
          <w:rFonts w:cs="Arial"/>
          <w:i/>
          <w:iCs/>
        </w:rPr>
        <w:t xml:space="preserve"> </w:t>
      </w:r>
      <w:r w:rsidR="00254940" w:rsidRPr="00254940">
        <w:rPr>
          <w:rFonts w:cs="Arial"/>
          <w:bCs/>
        </w:rPr>
        <w:t xml:space="preserve">Management of infection guidance for primary care for consultation and local adaptation. </w:t>
      </w:r>
    </w:p>
    <w:p w14:paraId="4CB21A52" w14:textId="2193FCC3" w:rsidR="00254940" w:rsidRDefault="00526DA2" w:rsidP="00254940">
      <w:pPr>
        <w:numPr>
          <w:ilvl w:val="0"/>
          <w:numId w:val="11"/>
        </w:numPr>
        <w:autoSpaceDE w:val="0"/>
        <w:autoSpaceDN w:val="0"/>
        <w:adjustRightInd w:val="0"/>
        <w:spacing w:afterLines="80" w:after="192"/>
        <w:ind w:left="426" w:hanging="426"/>
        <w:contextualSpacing/>
        <w:rPr>
          <w:rFonts w:cs="Arial"/>
          <w:bCs/>
        </w:rPr>
      </w:pPr>
      <w:hyperlink r:id="rId10" w:history="1">
        <w:r w:rsidR="00254940" w:rsidRPr="00570BEE">
          <w:rPr>
            <w:rStyle w:val="Hyperlink"/>
            <w:rFonts w:ascii="Arial" w:hAnsi="Arial" w:cs="Arial"/>
            <w:b/>
            <w:bCs/>
            <w:i/>
          </w:rPr>
          <w:t>EPOS-2012</w:t>
        </w:r>
        <w:r w:rsidR="00254940" w:rsidRPr="00570BEE">
          <w:rPr>
            <w:rStyle w:val="Hyperlink"/>
            <w:rFonts w:ascii="Arial" w:hAnsi="Arial" w:cs="Arial"/>
            <w:bCs/>
            <w:vertAlign w:val="superscript"/>
          </w:rPr>
          <w:t>3</w:t>
        </w:r>
      </w:hyperlink>
      <w:r w:rsidR="00254940" w:rsidRPr="00254940">
        <w:rPr>
          <w:rFonts w:cs="Arial"/>
          <w:bCs/>
        </w:rPr>
        <w:t xml:space="preserve"> European </w:t>
      </w:r>
      <w:proofErr w:type="spellStart"/>
      <w:r w:rsidR="00254940" w:rsidRPr="00254940">
        <w:rPr>
          <w:rFonts w:cs="Arial"/>
          <w:bCs/>
        </w:rPr>
        <w:t>Positon</w:t>
      </w:r>
      <w:proofErr w:type="spellEnd"/>
      <w:r w:rsidR="00254940" w:rsidRPr="00254940">
        <w:rPr>
          <w:rFonts w:cs="Arial"/>
          <w:bCs/>
        </w:rPr>
        <w:t xml:space="preserve"> Paper on Rhinosinusitis and Nasal Polyps 2012. </w:t>
      </w:r>
    </w:p>
    <w:p w14:paraId="2121E842" w14:textId="66B6D3A1" w:rsidR="00947916" w:rsidRDefault="00947916" w:rsidP="00282904">
      <w:pPr>
        <w:autoSpaceDE w:val="0"/>
        <w:autoSpaceDN w:val="0"/>
        <w:adjustRightInd w:val="0"/>
        <w:spacing w:afterLines="80" w:after="192"/>
        <w:contextualSpacing/>
        <w:rPr>
          <w:rFonts w:cs="Arial"/>
          <w:b/>
          <w:bCs/>
          <w:sz w:val="20"/>
          <w:szCs w:val="20"/>
        </w:rPr>
      </w:pPr>
    </w:p>
    <w:tbl>
      <w:tblPr>
        <w:tblpPr w:leftFromText="181" w:rightFromText="181" w:vertAnchor="text" w:horzAnchor="margin" w:tblpY="278"/>
        <w:tblW w:w="10598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686"/>
        <w:gridCol w:w="2410"/>
        <w:gridCol w:w="2126"/>
        <w:gridCol w:w="1134"/>
      </w:tblGrid>
      <w:tr w:rsidR="00947916" w:rsidRPr="00947916" w14:paraId="252932F4" w14:textId="77777777" w:rsidTr="00B813E8">
        <w:trPr>
          <w:trHeight w:val="264"/>
        </w:trPr>
        <w:tc>
          <w:tcPr>
            <w:tcW w:w="1242" w:type="dxa"/>
            <w:shd w:val="clear" w:color="auto" w:fill="F2D6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56AD" w14:textId="77777777" w:rsidR="00947916" w:rsidRPr="00B813E8" w:rsidRDefault="00947916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B813E8">
              <w:rPr>
                <w:b/>
                <w:bCs/>
                <w:sz w:val="16"/>
                <w:szCs w:val="16"/>
              </w:rPr>
              <w:t>ILLNESS</w:t>
            </w:r>
          </w:p>
        </w:tc>
        <w:tc>
          <w:tcPr>
            <w:tcW w:w="3686" w:type="dxa"/>
            <w:shd w:val="clear" w:color="auto" w:fill="F2D6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FC12" w14:textId="77777777" w:rsidR="00947916" w:rsidRPr="00B813E8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9"/>
              <w:jc w:val="center"/>
              <w:rPr>
                <w:b/>
                <w:bCs/>
                <w:sz w:val="16"/>
                <w:szCs w:val="16"/>
              </w:rPr>
            </w:pPr>
            <w:r w:rsidRPr="00B813E8">
              <w:rPr>
                <w:b/>
                <w:bCs/>
                <w:sz w:val="16"/>
                <w:szCs w:val="16"/>
              </w:rPr>
              <w:t>COMMENTS</w:t>
            </w:r>
          </w:p>
        </w:tc>
        <w:tc>
          <w:tcPr>
            <w:tcW w:w="2410" w:type="dxa"/>
            <w:shd w:val="clear" w:color="auto" w:fill="F2D6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147B" w14:textId="77777777" w:rsidR="00947916" w:rsidRPr="00B813E8" w:rsidRDefault="00947916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ind w:right="-74"/>
              <w:jc w:val="center"/>
              <w:rPr>
                <w:b/>
                <w:iCs/>
                <w:sz w:val="16"/>
                <w:szCs w:val="16"/>
              </w:rPr>
            </w:pPr>
            <w:r w:rsidRPr="00B813E8">
              <w:rPr>
                <w:b/>
                <w:iCs/>
                <w:sz w:val="16"/>
                <w:szCs w:val="16"/>
              </w:rPr>
              <w:t>DRUG</w:t>
            </w:r>
          </w:p>
        </w:tc>
        <w:tc>
          <w:tcPr>
            <w:tcW w:w="2126" w:type="dxa"/>
            <w:shd w:val="clear" w:color="auto" w:fill="F2D6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99A3" w14:textId="77777777" w:rsidR="00947916" w:rsidRPr="00B813E8" w:rsidRDefault="00947916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jc w:val="center"/>
              <w:rPr>
                <w:b/>
                <w:sz w:val="16"/>
                <w:szCs w:val="16"/>
              </w:rPr>
            </w:pPr>
            <w:r w:rsidRPr="00B813E8">
              <w:rPr>
                <w:b/>
                <w:sz w:val="16"/>
                <w:szCs w:val="16"/>
              </w:rPr>
              <w:t>ADULT DOSE</w:t>
            </w:r>
          </w:p>
        </w:tc>
        <w:tc>
          <w:tcPr>
            <w:tcW w:w="1134" w:type="dxa"/>
            <w:shd w:val="clear" w:color="auto" w:fill="F2D6B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CBB9" w14:textId="77777777" w:rsidR="00947916" w:rsidRPr="00B813E8" w:rsidRDefault="00947916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jc w:val="center"/>
              <w:rPr>
                <w:b/>
                <w:sz w:val="16"/>
                <w:szCs w:val="16"/>
                <w:lang w:eastAsia="en-GB"/>
              </w:rPr>
            </w:pPr>
            <w:r w:rsidRPr="00B813E8">
              <w:rPr>
                <w:b/>
                <w:sz w:val="16"/>
                <w:szCs w:val="16"/>
                <w:lang w:eastAsia="en-GB"/>
              </w:rPr>
              <w:t>DURATION</w:t>
            </w:r>
          </w:p>
        </w:tc>
      </w:tr>
      <w:tr w:rsidR="00A7768B" w:rsidRPr="00947916" w14:paraId="241AC5C4" w14:textId="77777777" w:rsidTr="00C04F57">
        <w:trPr>
          <w:trHeight w:val="559"/>
        </w:trPr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7DB4" w14:textId="77777777" w:rsidR="00A7768B" w:rsidRPr="00947916" w:rsidRDefault="00A7768B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ind w:right="-108"/>
              <w:rPr>
                <w:sz w:val="16"/>
                <w:szCs w:val="16"/>
              </w:rPr>
            </w:pPr>
            <w:r w:rsidRPr="00947916">
              <w:rPr>
                <w:b/>
                <w:bCs/>
                <w:sz w:val="16"/>
                <w:szCs w:val="16"/>
              </w:rPr>
              <w:t>Acute rhinosinusitis</w:t>
            </w:r>
          </w:p>
          <w:p w14:paraId="33A72BAC" w14:textId="5F02A684" w:rsidR="00A7768B" w:rsidRPr="00947916" w:rsidRDefault="00526DA2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" w:history="1">
              <w:r w:rsidR="00A7768B" w:rsidRPr="00947916">
                <w:rPr>
                  <w:rStyle w:val="Hyperlink"/>
                  <w:rFonts w:ascii="Arial" w:hAnsi="Arial" w:cs="Arial"/>
                  <w:sz w:val="16"/>
                  <w:szCs w:val="16"/>
                </w:rPr>
                <w:t>NICE Sinusitis (acute)</w:t>
              </w:r>
            </w:hyperlink>
            <w:r w:rsidR="00A26E44">
              <w:rPr>
                <w:sz w:val="16"/>
                <w:szCs w:val="16"/>
                <w:vertAlign w:val="superscript"/>
              </w:rPr>
              <w:t>6</w:t>
            </w:r>
          </w:p>
          <w:p w14:paraId="2F4331B0" w14:textId="77777777" w:rsidR="00A7768B" w:rsidRPr="00947916" w:rsidRDefault="00A7768B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  <w:p w14:paraId="3FD5FC5D" w14:textId="67248836" w:rsidR="00A7768B" w:rsidRPr="00947916" w:rsidRDefault="00526DA2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2" w:history="1">
              <w:r w:rsidR="00A7768B" w:rsidRPr="00947916">
                <w:rPr>
                  <w:rStyle w:val="Hyperlink"/>
                  <w:rFonts w:ascii="Arial" w:hAnsi="Arial" w:cs="Arial"/>
                  <w:sz w:val="16"/>
                  <w:szCs w:val="16"/>
                </w:rPr>
                <w:t>NICE RTIs</w:t>
              </w:r>
            </w:hyperlink>
            <w:r w:rsidR="003A3BB9" w:rsidRPr="003A3BB9">
              <w:rPr>
                <w:sz w:val="16"/>
                <w:szCs w:val="16"/>
                <w:vertAlign w:val="superscript"/>
              </w:rPr>
              <w:t>4</w:t>
            </w:r>
          </w:p>
          <w:p w14:paraId="0F3F43F2" w14:textId="77777777" w:rsidR="00A7768B" w:rsidRPr="00947916" w:rsidRDefault="00A7768B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091E4B52" w14:textId="56292824" w:rsidR="00A7768B" w:rsidRPr="00947916" w:rsidRDefault="00A7768B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6" w:type="dxa"/>
            <w:gridSpan w:val="4"/>
            <w:tcBorders>
              <w:bottom w:val="single" w:sz="8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EB0C" w14:textId="77777777" w:rsidR="00A7768B" w:rsidRDefault="00A7768B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9"/>
              <w:rPr>
                <w:sz w:val="16"/>
                <w:szCs w:val="16"/>
              </w:rPr>
            </w:pPr>
            <w:r w:rsidRPr="00947916">
              <w:rPr>
                <w:b/>
                <w:bCs/>
                <w:sz w:val="16"/>
                <w:szCs w:val="16"/>
              </w:rPr>
              <w:t xml:space="preserve">Symptoms </w:t>
            </w:r>
            <w:r w:rsidRPr="00947916">
              <w:rPr>
                <w:b/>
                <w:bCs/>
                <w:sz w:val="16"/>
                <w:szCs w:val="16"/>
                <w:u w:val="single"/>
              </w:rPr>
              <w:t>&lt;</w:t>
            </w:r>
            <w:r w:rsidRPr="00947916">
              <w:rPr>
                <w:b/>
                <w:bCs/>
                <w:sz w:val="16"/>
                <w:szCs w:val="16"/>
              </w:rPr>
              <w:t>10 days:</w:t>
            </w:r>
            <w:r w:rsidRPr="00947916">
              <w:rPr>
                <w:sz w:val="16"/>
                <w:szCs w:val="16"/>
              </w:rPr>
              <w:t xml:space="preserve"> </w:t>
            </w:r>
          </w:p>
          <w:p w14:paraId="50E87907" w14:textId="1BFC9A6F" w:rsidR="00A7768B" w:rsidRPr="00947916" w:rsidRDefault="00A7768B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947916">
              <w:rPr>
                <w:sz w:val="16"/>
                <w:szCs w:val="16"/>
              </w:rPr>
              <w:t>o not offer antibiotics as most resolve in 14 days; antibiotics only offer marginal benefit after 7 days (NNT15).</w:t>
            </w:r>
          </w:p>
          <w:p w14:paraId="631B29AD" w14:textId="565D062B" w:rsidR="00A7768B" w:rsidRPr="00A7768B" w:rsidRDefault="00A7768B" w:rsidP="00A7768B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ind w:right="-7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No antibiotics: </w:t>
            </w:r>
            <w:r w:rsidRPr="00947916">
              <w:rPr>
                <w:i/>
                <w:iCs/>
                <w:sz w:val="16"/>
                <w:szCs w:val="16"/>
              </w:rPr>
              <w:t>Give self-care advice</w:t>
            </w:r>
          </w:p>
        </w:tc>
      </w:tr>
      <w:tr w:rsidR="00A7768B" w:rsidRPr="00947916" w14:paraId="42259FC2" w14:textId="77777777" w:rsidTr="00C04F57">
        <w:trPr>
          <w:trHeight w:val="539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A39B" w14:textId="77777777" w:rsidR="00A7768B" w:rsidRPr="00947916" w:rsidRDefault="00A7768B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6" w:type="dxa"/>
            <w:gridSpan w:val="4"/>
            <w:tcBorders>
              <w:bottom w:val="single" w:sz="8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D5FC" w14:textId="77777777" w:rsidR="00A7768B" w:rsidRDefault="00A7768B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9"/>
              <w:rPr>
                <w:sz w:val="16"/>
                <w:szCs w:val="16"/>
              </w:rPr>
            </w:pPr>
            <w:r w:rsidRPr="00947916">
              <w:rPr>
                <w:b/>
                <w:bCs/>
                <w:sz w:val="16"/>
                <w:szCs w:val="16"/>
              </w:rPr>
              <w:t>Symptoms &gt;10 days</w:t>
            </w:r>
            <w:r w:rsidRPr="00947916">
              <w:rPr>
                <w:sz w:val="16"/>
                <w:szCs w:val="16"/>
              </w:rPr>
              <w:t xml:space="preserve">: </w:t>
            </w:r>
          </w:p>
          <w:p w14:paraId="1C6AA416" w14:textId="4D447583" w:rsidR="00A7768B" w:rsidRPr="00A7768B" w:rsidRDefault="00A7768B" w:rsidP="00A7768B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9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</w:t>
            </w:r>
            <w:r w:rsidRPr="00947916">
              <w:rPr>
                <w:sz w:val="16"/>
                <w:szCs w:val="16"/>
              </w:rPr>
              <w:t xml:space="preserve">o antibiotic, or </w:t>
            </w:r>
            <w:r w:rsidRPr="00947916">
              <w:rPr>
                <w:b/>
                <w:bCs/>
                <w:sz w:val="16"/>
                <w:szCs w:val="16"/>
              </w:rPr>
              <w:t>back-up antibiotic</w:t>
            </w:r>
            <w:r w:rsidRPr="00947916">
              <w:rPr>
                <w:sz w:val="16"/>
                <w:szCs w:val="16"/>
              </w:rPr>
              <w:t xml:space="preserve"> if several of: purulent nasal discharge; severe localised unilateral pain; fever; marked deterioration after initial milder phase.</w:t>
            </w:r>
          </w:p>
        </w:tc>
      </w:tr>
      <w:tr w:rsidR="00A7768B" w:rsidRPr="00947916" w14:paraId="6AFD943C" w14:textId="77777777" w:rsidTr="00C04F57">
        <w:trPr>
          <w:trHeight w:val="555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9F0F" w14:textId="77777777" w:rsidR="00A7768B" w:rsidRPr="00947916" w:rsidRDefault="00A7768B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6" w:type="dxa"/>
            <w:gridSpan w:val="4"/>
            <w:tcBorders>
              <w:top w:val="single" w:sz="8" w:space="0" w:color="1F497D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C843" w14:textId="77777777" w:rsidR="00A7768B" w:rsidRDefault="00A7768B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ind w:right="-79"/>
              <w:rPr>
                <w:b/>
                <w:bCs/>
                <w:sz w:val="16"/>
                <w:szCs w:val="16"/>
              </w:rPr>
            </w:pPr>
            <w:r w:rsidRPr="00947916">
              <w:rPr>
                <w:b/>
                <w:bCs/>
                <w:sz w:val="16"/>
                <w:szCs w:val="16"/>
              </w:rPr>
              <w:t xml:space="preserve">Self-care: </w:t>
            </w:r>
          </w:p>
          <w:p w14:paraId="03E59CD1" w14:textId="77777777" w:rsidR="00A7768B" w:rsidRDefault="00A7768B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ind w:right="-79"/>
              <w:rPr>
                <w:sz w:val="16"/>
                <w:szCs w:val="16"/>
              </w:rPr>
            </w:pPr>
            <w:r w:rsidRPr="00947916">
              <w:rPr>
                <w:sz w:val="16"/>
                <w:szCs w:val="16"/>
              </w:rPr>
              <w:t xml:space="preserve">Paracetamol or ibuprofen for pain/fever. </w:t>
            </w:r>
          </w:p>
          <w:p w14:paraId="1ABDB5AD" w14:textId="77777777" w:rsidR="00A7768B" w:rsidRDefault="00A7768B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ind w:right="-79"/>
              <w:rPr>
                <w:sz w:val="16"/>
                <w:szCs w:val="16"/>
              </w:rPr>
            </w:pPr>
            <w:r w:rsidRPr="00947916">
              <w:rPr>
                <w:sz w:val="16"/>
                <w:szCs w:val="16"/>
              </w:rPr>
              <w:t>Consider high-dose nasal steroid if &gt;12yrs.</w:t>
            </w:r>
          </w:p>
          <w:p w14:paraId="2454F9BD" w14:textId="7AEF66B7" w:rsidR="00A7768B" w:rsidRPr="00947916" w:rsidRDefault="00A7768B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rPr>
                <w:sz w:val="16"/>
                <w:szCs w:val="16"/>
                <w:lang w:eastAsia="en-GB"/>
              </w:rPr>
            </w:pPr>
            <w:r w:rsidRPr="00947916">
              <w:rPr>
                <w:sz w:val="16"/>
                <w:szCs w:val="16"/>
              </w:rPr>
              <w:t>Nasal decongestants or saline may help some.</w:t>
            </w:r>
          </w:p>
        </w:tc>
      </w:tr>
      <w:tr w:rsidR="00947916" w:rsidRPr="00947916" w14:paraId="1FAE2AC6" w14:textId="77777777" w:rsidTr="00C04F57">
        <w:trPr>
          <w:trHeight w:val="2188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B411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8"/>
              <w:rPr>
                <w:sz w:val="16"/>
                <w:szCs w:val="16"/>
              </w:rPr>
            </w:pP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A3CD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9"/>
              <w:rPr>
                <w:sz w:val="16"/>
                <w:szCs w:val="16"/>
                <w:vertAlign w:val="superscript"/>
              </w:rPr>
            </w:pPr>
            <w:r w:rsidRPr="00947916">
              <w:rPr>
                <w:b/>
                <w:bCs/>
                <w:sz w:val="16"/>
                <w:szCs w:val="16"/>
              </w:rPr>
              <w:t>Systemically very unwell or more serious signs and symptoms:</w:t>
            </w:r>
            <w:r w:rsidRPr="00947916">
              <w:rPr>
                <w:sz w:val="16"/>
                <w:szCs w:val="16"/>
              </w:rPr>
              <w:t xml:space="preserve"> immediate antibiotic.</w:t>
            </w:r>
          </w:p>
          <w:p w14:paraId="680CCF14" w14:textId="77777777" w:rsidR="00947916" w:rsidRDefault="00947916" w:rsidP="00947916">
            <w:pPr>
              <w:pStyle w:val="PHEBulletpoint"/>
              <w:numPr>
                <w:ilvl w:val="0"/>
                <w:numId w:val="0"/>
              </w:numPr>
              <w:spacing w:after="10" w:line="240" w:lineRule="auto"/>
              <w:ind w:right="-79"/>
              <w:rPr>
                <w:b/>
                <w:bCs/>
                <w:sz w:val="16"/>
                <w:szCs w:val="16"/>
              </w:rPr>
            </w:pPr>
          </w:p>
          <w:p w14:paraId="4E7129C7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after="10" w:line="240" w:lineRule="auto"/>
              <w:ind w:right="-79"/>
              <w:rPr>
                <w:sz w:val="16"/>
                <w:szCs w:val="16"/>
                <w:vertAlign w:val="superscript"/>
              </w:rPr>
            </w:pPr>
            <w:r w:rsidRPr="00947916">
              <w:rPr>
                <w:b/>
                <w:bCs/>
                <w:sz w:val="16"/>
                <w:szCs w:val="16"/>
              </w:rPr>
              <w:t>Suspected complications:</w:t>
            </w:r>
            <w:r w:rsidRPr="00947916">
              <w:rPr>
                <w:sz w:val="16"/>
                <w:szCs w:val="16"/>
              </w:rPr>
              <w:t xml:space="preserve"> e.g. sepsis, </w:t>
            </w:r>
            <w:proofErr w:type="spellStart"/>
            <w:r w:rsidRPr="00947916">
              <w:rPr>
                <w:sz w:val="16"/>
                <w:szCs w:val="16"/>
              </w:rPr>
              <w:t>intraorbital</w:t>
            </w:r>
            <w:proofErr w:type="spellEnd"/>
            <w:r w:rsidRPr="00947916">
              <w:rPr>
                <w:sz w:val="16"/>
                <w:szCs w:val="16"/>
              </w:rPr>
              <w:t xml:space="preserve"> or intracranial, refer to secondary care.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8644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ind w:right="-74"/>
              <w:rPr>
                <w:sz w:val="16"/>
                <w:szCs w:val="16"/>
                <w:vertAlign w:val="superscript"/>
              </w:rPr>
            </w:pPr>
            <w:r w:rsidRPr="00947916">
              <w:rPr>
                <w:i/>
                <w:iCs/>
                <w:sz w:val="16"/>
                <w:szCs w:val="16"/>
              </w:rPr>
              <w:t>First line for delayed:</w:t>
            </w:r>
            <w:r w:rsidRPr="00947916">
              <w:rPr>
                <w:sz w:val="16"/>
                <w:szCs w:val="16"/>
              </w:rPr>
              <w:t xml:space="preserve"> phenoxymethylpenicillin</w:t>
            </w:r>
          </w:p>
          <w:p w14:paraId="0697C9C8" w14:textId="77777777" w:rsid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i/>
                <w:iCs/>
                <w:sz w:val="16"/>
                <w:szCs w:val="16"/>
              </w:rPr>
            </w:pPr>
          </w:p>
          <w:p w14:paraId="0824A06D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  <w:r w:rsidRPr="00947916">
              <w:rPr>
                <w:i/>
                <w:iCs/>
                <w:sz w:val="16"/>
                <w:szCs w:val="16"/>
              </w:rPr>
              <w:t>Penicillin allergy or intolerance:</w:t>
            </w:r>
            <w:r w:rsidRPr="00947916">
              <w:rPr>
                <w:sz w:val="16"/>
                <w:szCs w:val="16"/>
              </w:rPr>
              <w:t xml:space="preserve"> </w:t>
            </w:r>
          </w:p>
          <w:p w14:paraId="7E1B4F28" w14:textId="77777777" w:rsid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  <w:r w:rsidRPr="00947916">
              <w:rPr>
                <w:sz w:val="16"/>
                <w:szCs w:val="16"/>
              </w:rPr>
              <w:t xml:space="preserve">doxycycline </w:t>
            </w:r>
            <w:r w:rsidRPr="00947916">
              <w:rPr>
                <w:i/>
                <w:iCs/>
                <w:sz w:val="16"/>
                <w:szCs w:val="16"/>
              </w:rPr>
              <w:t>OR</w:t>
            </w:r>
            <w:r w:rsidRPr="00947916">
              <w:rPr>
                <w:sz w:val="16"/>
                <w:szCs w:val="16"/>
              </w:rPr>
              <w:t xml:space="preserve"> </w:t>
            </w:r>
          </w:p>
          <w:p w14:paraId="002B33DE" w14:textId="78B8B819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  <w:vertAlign w:val="superscript"/>
              </w:rPr>
            </w:pPr>
            <w:r w:rsidRPr="00947916">
              <w:rPr>
                <w:sz w:val="16"/>
                <w:szCs w:val="16"/>
              </w:rPr>
              <w:t>clarithromycin</w:t>
            </w:r>
          </w:p>
          <w:p w14:paraId="14717CF4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</w:p>
          <w:p w14:paraId="62466E7E" w14:textId="77777777" w:rsidR="003D5070" w:rsidRPr="00947916" w:rsidRDefault="003D5070" w:rsidP="003D5070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i/>
                <w:iCs/>
                <w:sz w:val="16"/>
                <w:szCs w:val="16"/>
              </w:rPr>
            </w:pPr>
            <w:r w:rsidRPr="00947916">
              <w:rPr>
                <w:i/>
                <w:iCs/>
                <w:sz w:val="16"/>
                <w:szCs w:val="16"/>
              </w:rPr>
              <w:t>Very unwell or worsening symptoms:</w:t>
            </w:r>
          </w:p>
          <w:p w14:paraId="0E31E49C" w14:textId="629ECE94" w:rsidR="003D5070" w:rsidRDefault="003D5070" w:rsidP="003D5070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  <w:r w:rsidRPr="00947916">
              <w:rPr>
                <w:sz w:val="16"/>
                <w:szCs w:val="16"/>
              </w:rPr>
              <w:t>co-amoxiclav</w:t>
            </w:r>
          </w:p>
          <w:p w14:paraId="48291AA0" w14:textId="0E3D5295" w:rsidR="00947916" w:rsidRPr="003D5070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  <w:vertAlign w:val="superscript"/>
              </w:rPr>
            </w:pPr>
            <w:r w:rsidRPr="00947916">
              <w:rPr>
                <w:sz w:val="16"/>
                <w:szCs w:val="16"/>
              </w:rPr>
              <w:t>Mometasone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3EB2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  <w:p w14:paraId="544512F2" w14:textId="18DF1AC1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  <w:r w:rsidRPr="00947916">
              <w:rPr>
                <w:sz w:val="16"/>
                <w:szCs w:val="16"/>
              </w:rPr>
              <w:t xml:space="preserve">500mg QDS </w:t>
            </w:r>
            <w:r>
              <w:rPr>
                <w:sz w:val="16"/>
                <w:szCs w:val="16"/>
              </w:rPr>
              <w:t xml:space="preserve">or </w:t>
            </w:r>
            <w:r w:rsidRPr="00947916">
              <w:rPr>
                <w:sz w:val="16"/>
                <w:szCs w:val="16"/>
              </w:rPr>
              <w:t>1g BD</w:t>
            </w:r>
            <w:r w:rsidR="0028396A">
              <w:rPr>
                <w:sz w:val="16"/>
                <w:szCs w:val="16"/>
              </w:rPr>
              <w:t xml:space="preserve"> (if severe)</w:t>
            </w:r>
          </w:p>
          <w:p w14:paraId="617B9FF9" w14:textId="77777777" w:rsid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</w:p>
          <w:p w14:paraId="5F300DA0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  <w:r w:rsidRPr="00947916">
              <w:rPr>
                <w:sz w:val="16"/>
                <w:szCs w:val="16"/>
              </w:rPr>
              <w:t>200mg stat then 100mg OD</w:t>
            </w:r>
          </w:p>
          <w:p w14:paraId="51879D73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  <w:r w:rsidRPr="00947916">
              <w:rPr>
                <w:sz w:val="16"/>
                <w:szCs w:val="16"/>
              </w:rPr>
              <w:t xml:space="preserve">500mg BD                       </w:t>
            </w:r>
          </w:p>
          <w:p w14:paraId="5AB014F3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</w:p>
          <w:p w14:paraId="302095C1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</w:p>
          <w:p w14:paraId="364567B9" w14:textId="77777777" w:rsidR="003D5070" w:rsidRDefault="003D5070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500/125mg TDS</w:t>
            </w:r>
            <w:r w:rsidRPr="00947916">
              <w:rPr>
                <w:sz w:val="16"/>
                <w:szCs w:val="16"/>
              </w:rPr>
              <w:t>            </w:t>
            </w:r>
          </w:p>
          <w:p w14:paraId="1F030EEA" w14:textId="77777777" w:rsidR="003D5070" w:rsidRDefault="003D5070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</w:p>
          <w:p w14:paraId="1AC37E38" w14:textId="6195DB7E" w:rsidR="00947916" w:rsidRPr="003D5070" w:rsidRDefault="00947916" w:rsidP="003D5070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  <w:r w:rsidRPr="00947916">
              <w:rPr>
                <w:sz w:val="16"/>
                <w:szCs w:val="16"/>
              </w:rPr>
              <w:t>200mcg BD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FBA4" w14:textId="1117A59C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before="10" w:line="240" w:lineRule="auto"/>
              <w:rPr>
                <w:sz w:val="16"/>
                <w:szCs w:val="16"/>
              </w:rPr>
            </w:pPr>
          </w:p>
          <w:p w14:paraId="1762613E" w14:textId="1175C81B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  <w:r w:rsidRPr="00947916">
              <w:rPr>
                <w:sz w:val="16"/>
                <w:szCs w:val="16"/>
              </w:rPr>
              <w:t>5 days</w:t>
            </w:r>
          </w:p>
          <w:p w14:paraId="3439517B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  <w:p w14:paraId="15F799E1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  <w:p w14:paraId="48F34EE1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  <w:r w:rsidRPr="00947916">
              <w:rPr>
                <w:sz w:val="16"/>
                <w:szCs w:val="16"/>
              </w:rPr>
              <w:t>5 days</w:t>
            </w:r>
          </w:p>
          <w:p w14:paraId="56D6F712" w14:textId="38B39E4E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days</w:t>
            </w:r>
          </w:p>
          <w:p w14:paraId="0FD15F6F" w14:textId="77777777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  <w:p w14:paraId="3925F823" w14:textId="77777777" w:rsid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  <w:p w14:paraId="535FD90F" w14:textId="77777777" w:rsidR="003D5070" w:rsidRDefault="003D5070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  <w:r w:rsidRPr="00947916">
              <w:rPr>
                <w:sz w:val="16"/>
                <w:szCs w:val="16"/>
              </w:rPr>
              <w:t>5 days</w:t>
            </w:r>
          </w:p>
          <w:p w14:paraId="7F476C2A" w14:textId="77777777" w:rsidR="003D5070" w:rsidRDefault="003D5070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</w:p>
          <w:p w14:paraId="4235A956" w14:textId="4D1267E9" w:rsidR="00947916" w:rsidRPr="00947916" w:rsidRDefault="00947916" w:rsidP="00947916">
            <w:pPr>
              <w:pStyle w:val="PHEBulletpoint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47916">
              <w:rPr>
                <w:sz w:val="16"/>
                <w:szCs w:val="16"/>
              </w:rPr>
              <w:t>14 days</w:t>
            </w:r>
          </w:p>
        </w:tc>
      </w:tr>
    </w:tbl>
    <w:p w14:paraId="0EE1C00D" w14:textId="7921CE6A" w:rsidR="000A60C9" w:rsidRPr="00947916" w:rsidRDefault="00947916" w:rsidP="00947916">
      <w:pPr>
        <w:spacing w:after="0" w:line="240" w:lineRule="auto"/>
        <w:rPr>
          <w:rFonts w:cs="Arial"/>
          <w:sz w:val="20"/>
          <w:szCs w:val="20"/>
        </w:rPr>
      </w:pPr>
      <w:r w:rsidRPr="00947916">
        <w:rPr>
          <w:rFonts w:cs="Arial"/>
          <w:b/>
          <w:bCs/>
          <w:sz w:val="20"/>
          <w:szCs w:val="20"/>
        </w:rPr>
        <w:t xml:space="preserve">Table 1: </w:t>
      </w:r>
      <w:r w:rsidRPr="00947916">
        <w:rPr>
          <w:rFonts w:cs="Arial"/>
          <w:bCs/>
          <w:sz w:val="20"/>
          <w:szCs w:val="20"/>
        </w:rPr>
        <w:t>PHE Primary Care Guidance for acute rhinosinusitis*.</w:t>
      </w:r>
    </w:p>
    <w:p w14:paraId="4B8DC0CB" w14:textId="25D923E2" w:rsidR="00254940" w:rsidRPr="00254940" w:rsidRDefault="00282904" w:rsidP="00254940">
      <w:pPr>
        <w:spacing w:after="80" w:line="240" w:lineRule="auto"/>
        <w:rPr>
          <w:rFonts w:eastAsia="Calibri" w:cs="Arial"/>
          <w:b/>
          <w:bCs/>
          <w:color w:val="1F497D"/>
          <w:sz w:val="26"/>
          <w:szCs w:val="26"/>
        </w:rPr>
      </w:pPr>
      <w:r w:rsidRPr="00254940">
        <w:rPr>
          <w:rFonts w:cs="Arial"/>
        </w:rPr>
        <w:t>*</w:t>
      </w:r>
      <w:r w:rsidRPr="00254940">
        <w:rPr>
          <w:rFonts w:cs="Arial"/>
          <w:sz w:val="20"/>
        </w:rPr>
        <w:t>For full details of Guidance used to audit against see Appendix 1.</w:t>
      </w:r>
      <w:r w:rsidR="005300B8">
        <w:rPr>
          <w:rFonts w:cs="Arial"/>
        </w:rPr>
        <w:br w:type="page"/>
      </w:r>
      <w:r w:rsidR="00254940" w:rsidRPr="00B813E8">
        <w:rPr>
          <w:rFonts w:eastAsia="Calibri" w:cs="Arial"/>
          <w:b/>
          <w:bCs/>
          <w:color w:val="AF1E2C"/>
          <w:sz w:val="26"/>
          <w:szCs w:val="26"/>
        </w:rPr>
        <w:lastRenderedPageBreak/>
        <w:t xml:space="preserve">How to complete this audit </w:t>
      </w:r>
    </w:p>
    <w:p w14:paraId="182A10C1" w14:textId="77777777" w:rsidR="00254940" w:rsidRPr="00254940" w:rsidRDefault="00254940" w:rsidP="00254940">
      <w:pPr>
        <w:spacing w:afterLines="80" w:after="192"/>
        <w:contextualSpacing/>
        <w:rPr>
          <w:rFonts w:cs="Arial"/>
          <w:bCs/>
        </w:rPr>
      </w:pPr>
      <w:r w:rsidRPr="00254940">
        <w:rPr>
          <w:rFonts w:cs="Arial"/>
        </w:rPr>
        <w:t xml:space="preserve">The audit tool is for adults and children that present with acute rhinosinusitis. It </w:t>
      </w:r>
      <w:r w:rsidRPr="00254940">
        <w:rPr>
          <w:rFonts w:cs="Arial"/>
          <w:bCs/>
        </w:rPr>
        <w:t xml:space="preserve">can be modified to comply with local infection management guidelines. </w:t>
      </w:r>
    </w:p>
    <w:p w14:paraId="20D169E6" w14:textId="77777777" w:rsidR="00254940" w:rsidRPr="00254940" w:rsidRDefault="00254940" w:rsidP="00254940">
      <w:pPr>
        <w:spacing w:afterLines="80" w:after="192"/>
        <w:contextualSpacing/>
        <w:rPr>
          <w:rFonts w:cs="Arial"/>
        </w:rPr>
      </w:pPr>
    </w:p>
    <w:p w14:paraId="1CD84F5C" w14:textId="502388AD" w:rsidR="00254940" w:rsidRPr="00254940" w:rsidRDefault="00254940" w:rsidP="00254940">
      <w:pPr>
        <w:spacing w:after="80" w:line="240" w:lineRule="auto"/>
        <w:rPr>
          <w:rFonts w:eastAsia="Calibri" w:cs="Arial"/>
        </w:rPr>
      </w:pPr>
      <w:r w:rsidRPr="00B813E8">
        <w:rPr>
          <w:rFonts w:eastAsia="Calibri" w:cs="Arial"/>
          <w:b/>
          <w:color w:val="AF1E2C"/>
        </w:rPr>
        <w:t>Step 1</w:t>
      </w:r>
      <w:r w:rsidRPr="00254940">
        <w:rPr>
          <w:rFonts w:eastAsia="Calibri" w:cs="Arial"/>
        </w:rPr>
        <w:t>: Search for 20-40 consultation (minimum 20)</w:t>
      </w:r>
      <w:r w:rsidR="00E25014">
        <w:rPr>
          <w:rFonts w:eastAsia="Calibri" w:cs="Arial"/>
        </w:rPr>
        <w:t xml:space="preserve"> relating to acute rhinosinusitis</w:t>
      </w:r>
      <w:r w:rsidRPr="00254940">
        <w:rPr>
          <w:rFonts w:eastAsia="Calibri" w:cs="Arial"/>
        </w:rPr>
        <w:t xml:space="preserve"> to be analysed to determine overall </w:t>
      </w:r>
      <w:r>
        <w:rPr>
          <w:rFonts w:eastAsia="Calibri" w:cs="Arial"/>
        </w:rPr>
        <w:t>compliance with NICE/</w:t>
      </w:r>
      <w:r w:rsidRPr="00254940">
        <w:rPr>
          <w:rFonts w:eastAsia="Calibri" w:cs="Arial"/>
        </w:rPr>
        <w:t xml:space="preserve">PHE and EPOS guidance. The Read codes below are a sample of codes that can be </w:t>
      </w:r>
      <w:proofErr w:type="gramStart"/>
      <w:r w:rsidRPr="00254940">
        <w:rPr>
          <w:rFonts w:eastAsia="Calibri" w:cs="Arial"/>
        </w:rPr>
        <w:t>used, but</w:t>
      </w:r>
      <w:proofErr w:type="gramEnd"/>
      <w:r w:rsidRPr="00254940">
        <w:rPr>
          <w:rFonts w:eastAsia="Calibri" w:cs="Arial"/>
        </w:rPr>
        <w:t xml:space="preserve"> consider adding codes that you or your colleagues are likely to use when you see patients with cough. Searching for just a few Read codes may identify all the consultations you require.</w:t>
      </w:r>
    </w:p>
    <w:tbl>
      <w:tblPr>
        <w:tblStyle w:val="TableGrid2"/>
        <w:tblW w:w="3883" w:type="dxa"/>
        <w:jc w:val="center"/>
        <w:tblLook w:val="04A0" w:firstRow="1" w:lastRow="0" w:firstColumn="1" w:lastColumn="0" w:noHBand="0" w:noVBand="1"/>
      </w:tblPr>
      <w:tblGrid>
        <w:gridCol w:w="1189"/>
        <w:gridCol w:w="2694"/>
      </w:tblGrid>
      <w:tr w:rsidR="00254940" w:rsidRPr="00254940" w14:paraId="1DD639EF" w14:textId="77777777" w:rsidTr="00B813E8">
        <w:trPr>
          <w:jc w:val="center"/>
        </w:trPr>
        <w:tc>
          <w:tcPr>
            <w:tcW w:w="1189" w:type="dxa"/>
            <w:shd w:val="clear" w:color="auto" w:fill="F2D6BA"/>
          </w:tcPr>
          <w:p w14:paraId="316935BE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254940">
              <w:rPr>
                <w:rFonts w:cs="Arial"/>
                <w:b/>
                <w:sz w:val="20"/>
                <w:szCs w:val="20"/>
              </w:rPr>
              <w:t>H010</w:t>
            </w:r>
          </w:p>
        </w:tc>
        <w:tc>
          <w:tcPr>
            <w:tcW w:w="2694" w:type="dxa"/>
            <w:shd w:val="clear" w:color="auto" w:fill="F2D6BA"/>
          </w:tcPr>
          <w:p w14:paraId="2C3F9224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254940">
              <w:rPr>
                <w:rFonts w:cs="Arial"/>
                <w:sz w:val="20"/>
                <w:szCs w:val="20"/>
              </w:rPr>
              <w:t xml:space="preserve">Acute maxillary sinusitis </w:t>
            </w:r>
          </w:p>
        </w:tc>
      </w:tr>
      <w:tr w:rsidR="00254940" w:rsidRPr="00254940" w14:paraId="5E6697A3" w14:textId="77777777" w:rsidTr="00B813E8">
        <w:trPr>
          <w:jc w:val="center"/>
        </w:trPr>
        <w:tc>
          <w:tcPr>
            <w:tcW w:w="1189" w:type="dxa"/>
            <w:shd w:val="clear" w:color="auto" w:fill="F2D6BA"/>
          </w:tcPr>
          <w:p w14:paraId="3E794AE9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254940">
              <w:rPr>
                <w:rFonts w:cs="Arial"/>
                <w:b/>
                <w:sz w:val="20"/>
                <w:szCs w:val="20"/>
              </w:rPr>
              <w:t>H011</w:t>
            </w:r>
          </w:p>
        </w:tc>
        <w:tc>
          <w:tcPr>
            <w:tcW w:w="2694" w:type="dxa"/>
            <w:shd w:val="clear" w:color="auto" w:fill="F2D6BA"/>
          </w:tcPr>
          <w:p w14:paraId="4E3B9241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254940">
              <w:rPr>
                <w:rFonts w:cs="Arial"/>
                <w:sz w:val="20"/>
                <w:szCs w:val="20"/>
              </w:rPr>
              <w:t xml:space="preserve">Acute frontal sinusitis </w:t>
            </w:r>
          </w:p>
        </w:tc>
      </w:tr>
      <w:tr w:rsidR="00254940" w:rsidRPr="00254940" w14:paraId="2EDFF84E" w14:textId="77777777" w:rsidTr="00B813E8">
        <w:trPr>
          <w:jc w:val="center"/>
        </w:trPr>
        <w:tc>
          <w:tcPr>
            <w:tcW w:w="1189" w:type="dxa"/>
            <w:shd w:val="clear" w:color="auto" w:fill="F2D6BA"/>
          </w:tcPr>
          <w:p w14:paraId="20D421C2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254940">
              <w:rPr>
                <w:rFonts w:cs="Arial"/>
                <w:b/>
                <w:sz w:val="20"/>
                <w:szCs w:val="20"/>
              </w:rPr>
              <w:t>H012</w:t>
            </w:r>
          </w:p>
        </w:tc>
        <w:tc>
          <w:tcPr>
            <w:tcW w:w="2694" w:type="dxa"/>
            <w:shd w:val="clear" w:color="auto" w:fill="F2D6BA"/>
          </w:tcPr>
          <w:p w14:paraId="051FC547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254940">
              <w:rPr>
                <w:rFonts w:cs="Arial"/>
                <w:sz w:val="20"/>
                <w:szCs w:val="20"/>
              </w:rPr>
              <w:t xml:space="preserve">Acute ethmoidal sinusitis </w:t>
            </w:r>
          </w:p>
        </w:tc>
      </w:tr>
      <w:tr w:rsidR="00254940" w:rsidRPr="00254940" w14:paraId="1CACB858" w14:textId="77777777" w:rsidTr="00B813E8">
        <w:trPr>
          <w:jc w:val="center"/>
        </w:trPr>
        <w:tc>
          <w:tcPr>
            <w:tcW w:w="1189" w:type="dxa"/>
            <w:shd w:val="clear" w:color="auto" w:fill="F2D6BA"/>
          </w:tcPr>
          <w:p w14:paraId="61459510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254940">
              <w:rPr>
                <w:rFonts w:cs="Arial"/>
                <w:b/>
                <w:sz w:val="20"/>
                <w:szCs w:val="20"/>
              </w:rPr>
              <w:t>H013</w:t>
            </w:r>
          </w:p>
        </w:tc>
        <w:tc>
          <w:tcPr>
            <w:tcW w:w="2694" w:type="dxa"/>
            <w:shd w:val="clear" w:color="auto" w:fill="F2D6BA"/>
          </w:tcPr>
          <w:p w14:paraId="457460A7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254940">
              <w:rPr>
                <w:rFonts w:cs="Arial"/>
                <w:sz w:val="20"/>
                <w:szCs w:val="20"/>
              </w:rPr>
              <w:t xml:space="preserve">Acute sphenoidal sinusitis </w:t>
            </w:r>
          </w:p>
        </w:tc>
      </w:tr>
      <w:tr w:rsidR="00254940" w:rsidRPr="00254940" w14:paraId="379A680A" w14:textId="77777777" w:rsidTr="00B813E8">
        <w:trPr>
          <w:jc w:val="center"/>
        </w:trPr>
        <w:tc>
          <w:tcPr>
            <w:tcW w:w="1189" w:type="dxa"/>
            <w:shd w:val="clear" w:color="auto" w:fill="F2D6BA"/>
          </w:tcPr>
          <w:p w14:paraId="2928BAFF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254940">
              <w:rPr>
                <w:rFonts w:cs="Arial"/>
                <w:b/>
                <w:sz w:val="20"/>
                <w:szCs w:val="20"/>
              </w:rPr>
              <w:t>H014</w:t>
            </w:r>
          </w:p>
        </w:tc>
        <w:tc>
          <w:tcPr>
            <w:tcW w:w="2694" w:type="dxa"/>
            <w:shd w:val="clear" w:color="auto" w:fill="F2D6BA"/>
          </w:tcPr>
          <w:p w14:paraId="1A9A96DD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254940">
              <w:rPr>
                <w:rFonts w:cs="Arial"/>
                <w:sz w:val="20"/>
                <w:szCs w:val="20"/>
              </w:rPr>
              <w:t xml:space="preserve">Acute rhinosinusitis </w:t>
            </w:r>
          </w:p>
        </w:tc>
      </w:tr>
      <w:tr w:rsidR="00254940" w:rsidRPr="00254940" w14:paraId="08CFA41C" w14:textId="77777777" w:rsidTr="00B813E8">
        <w:trPr>
          <w:jc w:val="center"/>
        </w:trPr>
        <w:tc>
          <w:tcPr>
            <w:tcW w:w="1189" w:type="dxa"/>
            <w:shd w:val="clear" w:color="auto" w:fill="F2D6BA"/>
          </w:tcPr>
          <w:p w14:paraId="3996139C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254940">
              <w:rPr>
                <w:rFonts w:cs="Arial"/>
                <w:b/>
                <w:sz w:val="20"/>
                <w:szCs w:val="20"/>
              </w:rPr>
              <w:t>H01y</w:t>
            </w:r>
          </w:p>
        </w:tc>
        <w:tc>
          <w:tcPr>
            <w:tcW w:w="2694" w:type="dxa"/>
            <w:shd w:val="clear" w:color="auto" w:fill="F2D6BA"/>
          </w:tcPr>
          <w:p w14:paraId="4D7B288E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254940">
              <w:rPr>
                <w:rFonts w:cs="Arial"/>
                <w:sz w:val="20"/>
                <w:szCs w:val="20"/>
              </w:rPr>
              <w:t xml:space="preserve">Other acute sinusitis </w:t>
            </w:r>
          </w:p>
        </w:tc>
      </w:tr>
      <w:tr w:rsidR="00254940" w:rsidRPr="00254940" w14:paraId="15457456" w14:textId="77777777" w:rsidTr="00B813E8">
        <w:trPr>
          <w:jc w:val="center"/>
        </w:trPr>
        <w:tc>
          <w:tcPr>
            <w:tcW w:w="1189" w:type="dxa"/>
            <w:shd w:val="clear" w:color="auto" w:fill="F2D6BA"/>
          </w:tcPr>
          <w:p w14:paraId="20D77574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254940">
              <w:rPr>
                <w:rFonts w:cs="Arial"/>
                <w:b/>
                <w:sz w:val="20"/>
                <w:szCs w:val="20"/>
              </w:rPr>
              <w:t>H01z</w:t>
            </w:r>
          </w:p>
        </w:tc>
        <w:tc>
          <w:tcPr>
            <w:tcW w:w="2694" w:type="dxa"/>
            <w:shd w:val="clear" w:color="auto" w:fill="F2D6BA"/>
          </w:tcPr>
          <w:p w14:paraId="04C1AE39" w14:textId="77777777" w:rsidR="00254940" w:rsidRPr="00254940" w:rsidRDefault="00254940" w:rsidP="00254940">
            <w:pPr>
              <w:spacing w:afterLines="80" w:after="192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254940">
              <w:rPr>
                <w:rFonts w:cs="Arial"/>
                <w:sz w:val="20"/>
                <w:szCs w:val="20"/>
              </w:rPr>
              <w:t xml:space="preserve">Acute sinusitis </w:t>
            </w:r>
          </w:p>
        </w:tc>
      </w:tr>
    </w:tbl>
    <w:p w14:paraId="1AADA454" w14:textId="77777777" w:rsidR="00365EF3" w:rsidRDefault="00365EF3" w:rsidP="008E16CC">
      <w:pPr>
        <w:spacing w:after="0"/>
        <w:contextualSpacing/>
        <w:rPr>
          <w:rFonts w:cs="Arial"/>
          <w:b/>
          <w:color w:val="1F497D" w:themeColor="text2"/>
          <w:sz w:val="26"/>
          <w:szCs w:val="26"/>
        </w:rPr>
      </w:pPr>
    </w:p>
    <w:p w14:paraId="52AF370A" w14:textId="5263C267" w:rsidR="005C2E01" w:rsidRDefault="005C2E01">
      <w:pPr>
        <w:rPr>
          <w:rFonts w:cs="Arial"/>
          <w:b/>
          <w:color w:val="1F497D" w:themeColor="text2"/>
        </w:rPr>
      </w:pPr>
      <w:r>
        <w:rPr>
          <w:rFonts w:cs="Arial"/>
          <w:b/>
          <w:color w:val="1F497D" w:themeColor="text2"/>
        </w:rPr>
        <w:br w:type="page"/>
      </w:r>
    </w:p>
    <w:p w14:paraId="544697CF" w14:textId="77777777" w:rsidR="003E1647" w:rsidRDefault="003E1647" w:rsidP="00550C38">
      <w:pPr>
        <w:spacing w:after="80" w:line="240" w:lineRule="auto"/>
        <w:rPr>
          <w:rFonts w:eastAsia="Calibri" w:cs="Arial"/>
          <w:b/>
          <w:color w:val="1F497D"/>
        </w:rPr>
        <w:sectPr w:rsidR="003E1647" w:rsidSect="007512D2">
          <w:footerReference w:type="default" r:id="rId13"/>
          <w:pgSz w:w="11906" w:h="16838"/>
          <w:pgMar w:top="720" w:right="720" w:bottom="720" w:left="720" w:header="680" w:footer="198" w:gutter="0"/>
          <w:cols w:space="708"/>
          <w:docGrid w:linePitch="360"/>
        </w:sectPr>
      </w:pPr>
    </w:p>
    <w:p w14:paraId="6FB2C2D6" w14:textId="4DC33149" w:rsidR="00550C38" w:rsidRPr="00550C38" w:rsidRDefault="00550C38" w:rsidP="00550C38">
      <w:pPr>
        <w:spacing w:after="80" w:line="240" w:lineRule="auto"/>
        <w:rPr>
          <w:rFonts w:eastAsia="Calibri" w:cs="Arial"/>
        </w:rPr>
      </w:pPr>
      <w:r w:rsidRPr="00B813E8">
        <w:rPr>
          <w:rFonts w:eastAsia="Calibri" w:cs="Arial"/>
          <w:b/>
          <w:color w:val="AF1E2C"/>
        </w:rPr>
        <w:lastRenderedPageBreak/>
        <w:t>Step 2</w:t>
      </w:r>
      <w:r w:rsidRPr="00550C38">
        <w:rPr>
          <w:rFonts w:eastAsia="Calibri" w:cs="Times New Roman"/>
        </w:rPr>
        <w:t>: Compete the data collection table below for each selected patient.</w:t>
      </w:r>
    </w:p>
    <w:tbl>
      <w:tblPr>
        <w:tblW w:w="15709" w:type="dxa"/>
        <w:tblLayout w:type="fixed"/>
        <w:tblLook w:val="04A0" w:firstRow="1" w:lastRow="0" w:firstColumn="1" w:lastColumn="0" w:noHBand="0" w:noVBand="1"/>
      </w:tblPr>
      <w:tblGrid>
        <w:gridCol w:w="3085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7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708"/>
        <w:gridCol w:w="138"/>
        <w:gridCol w:w="717"/>
      </w:tblGrid>
      <w:tr w:rsidR="00550C38" w:rsidRPr="00550C38" w14:paraId="16121002" w14:textId="77777777" w:rsidTr="00B813E8">
        <w:trPr>
          <w:trHeight w:val="247"/>
        </w:trPr>
        <w:tc>
          <w:tcPr>
            <w:tcW w:w="1570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E98EA5" w14:textId="4AA41C38" w:rsidR="00550C38" w:rsidRPr="00550C38" w:rsidRDefault="00550C38">
            <w:pPr>
              <w:spacing w:before="40" w:after="40" w:line="240" w:lineRule="auto"/>
              <w:ind w:right="-12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 xml:space="preserve">Data Collection Sheet: ACUTE </w:t>
            </w:r>
            <w:r w:rsidR="0025494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>RHINOSINUSITIS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 xml:space="preserve"> </w:t>
            </w:r>
            <w:r w:rsidRPr="00550C38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n-GB"/>
              </w:rPr>
              <w:t>Audit</w:t>
            </w:r>
          </w:p>
        </w:tc>
      </w:tr>
      <w:tr w:rsidR="00526DA2" w:rsidRPr="003E1647" w14:paraId="718DE093" w14:textId="77777777" w:rsidTr="00B813E8">
        <w:trPr>
          <w:trHeight w:val="57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FCDBD1" w14:textId="77777777" w:rsidR="00550C38" w:rsidRPr="009B267C" w:rsidRDefault="00550C38" w:rsidP="00550C38">
            <w:pPr>
              <w:spacing w:after="0" w:line="240" w:lineRule="auto"/>
              <w:ind w:left="-108" w:right="-123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Compliance with PHE Guidance for Management of acute cough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9B884" w14:textId="77777777" w:rsidR="00550C38" w:rsidRPr="009B267C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7886C1" w14:textId="77777777" w:rsidR="00550C38" w:rsidRPr="009B267C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D67C0B" w14:textId="77777777" w:rsidR="00550C38" w:rsidRPr="009B267C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619B59" w14:textId="77777777" w:rsidR="00550C38" w:rsidRPr="009B267C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9167A5" w14:textId="77777777" w:rsidR="00550C38" w:rsidRPr="009B267C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1F544" w14:textId="77777777" w:rsidR="00550C38" w:rsidRPr="009B267C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6B00C1" w14:textId="77777777" w:rsidR="00550C38" w:rsidRPr="009B267C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8B7CB" w14:textId="77777777" w:rsidR="00550C38" w:rsidRPr="009B267C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7FABC1" w14:textId="77777777" w:rsidR="00550C38" w:rsidRPr="009B267C" w:rsidRDefault="00550C38" w:rsidP="00550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ECF01E" w14:textId="77777777" w:rsidR="00550C38" w:rsidRPr="009B267C" w:rsidRDefault="00550C38" w:rsidP="00550C38">
            <w:pPr>
              <w:spacing w:after="0" w:line="240" w:lineRule="auto"/>
              <w:ind w:left="-110" w:right="-9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4830A" w14:textId="77777777" w:rsidR="00550C38" w:rsidRPr="009B267C" w:rsidRDefault="00550C38" w:rsidP="00550C38">
            <w:pPr>
              <w:spacing w:after="0" w:line="240" w:lineRule="auto"/>
              <w:ind w:left="-121" w:right="-113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E4162A" w14:textId="77777777" w:rsidR="00550C38" w:rsidRPr="009B267C" w:rsidRDefault="00550C38" w:rsidP="00550C38">
            <w:pPr>
              <w:spacing w:after="0" w:line="240" w:lineRule="auto"/>
              <w:ind w:left="-117" w:right="-116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330294" w14:textId="77777777" w:rsidR="00550C38" w:rsidRPr="009B267C" w:rsidRDefault="00550C38" w:rsidP="00550C38">
            <w:pPr>
              <w:spacing w:after="0" w:line="240" w:lineRule="auto"/>
              <w:ind w:left="-100" w:right="-106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6BFE2" w14:textId="77777777" w:rsidR="00550C38" w:rsidRPr="009B267C" w:rsidRDefault="00550C38" w:rsidP="00550C38">
            <w:pPr>
              <w:spacing w:after="0" w:line="240" w:lineRule="auto"/>
              <w:ind w:left="-96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2C0BF4" w14:textId="77777777" w:rsidR="00550C38" w:rsidRPr="009B267C" w:rsidRDefault="00550C38" w:rsidP="00550C38">
            <w:pPr>
              <w:spacing w:after="0" w:line="240" w:lineRule="auto"/>
              <w:ind w:left="-108" w:right="-11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37B16" w14:textId="77777777" w:rsidR="00550C38" w:rsidRPr="009B267C" w:rsidRDefault="00550C38" w:rsidP="00550C38">
            <w:pPr>
              <w:spacing w:after="0" w:line="240" w:lineRule="auto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25E6F8" w14:textId="77777777" w:rsidR="00550C38" w:rsidRPr="009B267C" w:rsidRDefault="00550C38" w:rsidP="00550C38">
            <w:pPr>
              <w:spacing w:after="0" w:line="240" w:lineRule="auto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1A61D5" w14:textId="77777777" w:rsidR="00550C38" w:rsidRPr="009B267C" w:rsidRDefault="00550C38" w:rsidP="00550C38">
            <w:pPr>
              <w:spacing w:after="0" w:line="240" w:lineRule="auto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27E285" w14:textId="77777777" w:rsidR="00550C38" w:rsidRPr="009B267C" w:rsidRDefault="00550C38" w:rsidP="00550C38">
            <w:pPr>
              <w:spacing w:after="0" w:line="240" w:lineRule="auto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19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A06B9" w14:textId="77777777" w:rsidR="00550C38" w:rsidRPr="009B267C" w:rsidRDefault="00550C38" w:rsidP="00550C38">
            <w:pPr>
              <w:spacing w:after="0" w:line="240" w:lineRule="auto"/>
              <w:ind w:left="-104" w:right="-11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50AB2B" w14:textId="77777777" w:rsidR="00550C38" w:rsidRPr="009B267C" w:rsidRDefault="00550C38" w:rsidP="00550C38">
            <w:pPr>
              <w:spacing w:after="0" w:line="240" w:lineRule="auto"/>
              <w:ind w:left="-101" w:right="-9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360CC" w14:textId="77777777" w:rsidR="00550C38" w:rsidRPr="009B267C" w:rsidRDefault="00550C38" w:rsidP="00550C38">
            <w:pPr>
              <w:spacing w:after="0" w:line="240" w:lineRule="auto"/>
              <w:ind w:left="-111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653339" w14:textId="77777777" w:rsidR="00550C38" w:rsidRPr="009B267C" w:rsidRDefault="00550C38" w:rsidP="00550C38">
            <w:pPr>
              <w:spacing w:after="0" w:line="240" w:lineRule="auto"/>
              <w:ind w:left="-108" w:right="-112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AE5A1" w14:textId="77777777" w:rsidR="00550C38" w:rsidRPr="009B267C" w:rsidRDefault="00550C38" w:rsidP="00550C38">
            <w:pPr>
              <w:spacing w:after="0" w:line="240" w:lineRule="auto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F815C0" w14:textId="77777777" w:rsidR="00550C38" w:rsidRPr="009B267C" w:rsidRDefault="00550C38" w:rsidP="00550C38">
            <w:pPr>
              <w:spacing w:after="0" w:line="240" w:lineRule="auto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672C6E" w14:textId="77777777" w:rsidR="00550C38" w:rsidRPr="009B267C" w:rsidRDefault="00550C38" w:rsidP="00550C38">
            <w:pPr>
              <w:spacing w:after="0" w:line="240" w:lineRule="auto"/>
              <w:ind w:left="-97" w:right="-9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207550" w14:textId="77777777" w:rsidR="00550C38" w:rsidRPr="009B267C" w:rsidRDefault="00550C38" w:rsidP="00550C38">
            <w:pPr>
              <w:spacing w:after="0" w:line="240" w:lineRule="auto"/>
              <w:ind w:left="-108" w:right="-8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4179EB" w14:textId="77777777" w:rsidR="00550C38" w:rsidRPr="009B267C" w:rsidRDefault="00550C38" w:rsidP="00550C38">
            <w:pPr>
              <w:spacing w:after="0" w:line="240" w:lineRule="auto"/>
              <w:ind w:left="-104" w:right="-10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EF0FF4" w14:textId="77777777" w:rsidR="00550C38" w:rsidRPr="009B267C" w:rsidRDefault="00550C38" w:rsidP="00550C38">
            <w:pPr>
              <w:spacing w:after="0" w:line="240" w:lineRule="auto"/>
              <w:ind w:left="-115" w:right="-119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3C67A" w14:textId="77777777" w:rsidR="00550C38" w:rsidRPr="009B267C" w:rsidRDefault="00550C38" w:rsidP="00550C38">
            <w:pPr>
              <w:spacing w:after="0" w:line="240" w:lineRule="auto"/>
              <w:ind w:left="-111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2110E" w14:textId="77777777" w:rsidR="00550C38" w:rsidRPr="009B267C" w:rsidRDefault="00550C38" w:rsidP="00550C38">
            <w:pPr>
              <w:spacing w:after="0" w:line="240" w:lineRule="auto"/>
              <w:ind w:left="-108" w:right="-9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F54504" w14:textId="77777777" w:rsidR="00550C38" w:rsidRPr="009B267C" w:rsidRDefault="00550C38" w:rsidP="00550C38">
            <w:pPr>
              <w:spacing w:after="0" w:line="240" w:lineRule="auto"/>
              <w:ind w:left="-90" w:right="-101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6578C1" w14:textId="77777777" w:rsidR="00550C38" w:rsidRPr="009B267C" w:rsidRDefault="00550C38" w:rsidP="00550C38">
            <w:pPr>
              <w:spacing w:after="0" w:line="240" w:lineRule="auto"/>
              <w:ind w:left="-101" w:right="-105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656D5" w14:textId="77777777" w:rsidR="00550C38" w:rsidRPr="009B267C" w:rsidRDefault="00550C38" w:rsidP="00550C38">
            <w:pPr>
              <w:spacing w:after="0" w:line="240" w:lineRule="auto"/>
              <w:ind w:left="-97" w:right="-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CE1799" w14:textId="77777777" w:rsidR="00550C38" w:rsidRPr="009B267C" w:rsidRDefault="00550C38" w:rsidP="00550C38">
            <w:pPr>
              <w:spacing w:after="0" w:line="240" w:lineRule="auto"/>
              <w:ind w:left="-94" w:right="-9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6C29E9" w14:textId="77777777" w:rsidR="00550C38" w:rsidRPr="009B267C" w:rsidRDefault="00550C38" w:rsidP="00550C38">
            <w:pPr>
              <w:spacing w:after="0" w:line="240" w:lineRule="auto"/>
              <w:ind w:left="-105" w:right="-10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90CDFA" w14:textId="77777777" w:rsidR="00550C38" w:rsidRPr="009B267C" w:rsidRDefault="00550C38" w:rsidP="00550C38">
            <w:pPr>
              <w:spacing w:after="0" w:line="240" w:lineRule="auto"/>
              <w:ind w:left="-102" w:right="-10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3AACBD" w14:textId="77777777" w:rsidR="00550C38" w:rsidRPr="009B267C" w:rsidRDefault="00550C38" w:rsidP="00550C38">
            <w:pPr>
              <w:spacing w:after="0" w:line="240" w:lineRule="auto"/>
              <w:ind w:left="-98" w:right="-10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019BFD" w14:textId="77777777" w:rsidR="00550C38" w:rsidRPr="009B267C" w:rsidRDefault="00550C38" w:rsidP="00550C38">
            <w:pPr>
              <w:spacing w:after="0" w:line="240" w:lineRule="auto"/>
              <w:ind w:left="-95" w:right="-9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39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9FDC5" w14:textId="77777777" w:rsidR="00550C38" w:rsidRPr="009B267C" w:rsidRDefault="00550C38" w:rsidP="00550C38">
            <w:pPr>
              <w:spacing w:after="0" w:line="240" w:lineRule="auto"/>
              <w:ind w:left="-105" w:right="-11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1945A2" w14:textId="32D9A7A1" w:rsidR="00550C38" w:rsidRPr="009B267C" w:rsidRDefault="00DE2D1D" w:rsidP="00DE2D1D">
            <w:pPr>
              <w:spacing w:after="0" w:line="240" w:lineRule="auto"/>
              <w:ind w:left="-108" w:right="-8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>% of Total acute sinusitis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1343D" w14:textId="77777777" w:rsidR="00550C38" w:rsidRPr="009B267C" w:rsidRDefault="00550C38" w:rsidP="00550C38">
            <w:pPr>
              <w:spacing w:after="0" w:line="240" w:lineRule="auto"/>
              <w:ind w:left="-138" w:right="-67" w:firstLine="14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GB"/>
              </w:rPr>
              <w:t xml:space="preserve">Your target % for good practice </w:t>
            </w:r>
          </w:p>
        </w:tc>
      </w:tr>
      <w:tr w:rsidR="00526DA2" w:rsidRPr="003E1647" w14:paraId="00D56946" w14:textId="77777777" w:rsidTr="00B813E8">
        <w:trPr>
          <w:trHeight w:val="23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5DB23" w14:textId="77777777" w:rsidR="00550C38" w:rsidRPr="00DE2D1D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DE2D1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DE2D1D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No antibiotic given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94921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B6B4B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3F70E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C008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0CF90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B9A3E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D0ECF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20A8A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333D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1772E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A0C90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4E31E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DECA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CD565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75B82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2739C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E0D0F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BEC5F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BC796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8A4FD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26BD4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375D0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F7A28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23644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CB7B1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3F210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E4439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02F85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FCEED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305B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DF416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DDEDC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F7DCD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DED22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31240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3FBC5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293E6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4CE03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42B18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A0E16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F32A9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B4DED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</w:tr>
      <w:tr w:rsidR="00E25014" w:rsidRPr="003E1647" w14:paraId="3440EA2D" w14:textId="77777777" w:rsidTr="00B813E8">
        <w:trPr>
          <w:trHeight w:val="23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345862" w14:textId="77777777" w:rsidR="00550C38" w:rsidRPr="00DE2D1D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DE2D1D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Back-up/delayed antibiotic given with advice about how to access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52A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F9E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BC0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7A6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C8C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FC3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A5B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83E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D24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428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F8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21B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C80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E73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843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1E9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A26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4CE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A4B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F0E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ACB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46B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AAD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29A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28A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2C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74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236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10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0B9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E4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285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41B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E2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E4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E3E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C3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92A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05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ED9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89B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968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</w:tr>
      <w:tr w:rsidR="00E25014" w:rsidRPr="003E1647" w14:paraId="1EE7D426" w14:textId="77777777" w:rsidTr="00B813E8">
        <w:trPr>
          <w:trHeight w:val="34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64831C" w14:textId="77777777" w:rsidR="00550C38" w:rsidRPr="00DE2D1D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DE2D1D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Immediate antibiotic given with advice on compliance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9CF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63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01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23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745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C73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0E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131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30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C8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10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9D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A0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42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3B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F1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AE6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727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F8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F43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7D1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F1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3E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382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4F6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426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EEB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4C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B8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EBD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A1D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AB0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9B1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FF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23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58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552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EF2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266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18D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6DE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96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</w:tr>
      <w:tr w:rsidR="00526DA2" w:rsidRPr="003E1647" w14:paraId="17D2F2D2" w14:textId="77777777" w:rsidTr="00B813E8">
        <w:trPr>
          <w:trHeight w:val="4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28454" w14:textId="77777777" w:rsidR="00550C38" w:rsidRPr="00DE2D1D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E2D1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Management appropriate for clinical presentation?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5B722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36B0F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2EA33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37EEA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CCA5E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04C81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7DC16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72319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E624A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192BF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B8113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78980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6D684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45A7C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419A0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BE4B7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610C8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2ABF7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00B81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A3EFA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2CA4B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B7E74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30AE1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9388A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DBEC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BD229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E531E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B8617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7F869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5C2F5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90210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50B56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4C2DC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84DA5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B964D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5F7F0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98017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DCDC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4B71E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5D906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78641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A5203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</w:tr>
      <w:tr w:rsidR="00E25014" w:rsidRPr="003E1647" w14:paraId="61193995" w14:textId="77777777" w:rsidTr="00B813E8">
        <w:trPr>
          <w:trHeight w:val="2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4D71C" w14:textId="46977D54" w:rsidR="00550C38" w:rsidRPr="00DE2D1D" w:rsidRDefault="00550C38" w:rsidP="00FB6B7D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DE2D1D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Advice given on natural history and illness</w:t>
            </w:r>
            <w:r w:rsidR="00FB6B7D" w:rsidRPr="00DE2D1D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duration </w:t>
            </w:r>
            <w:r w:rsidR="00254940" w:rsidRPr="00DE2D1D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>1</w:t>
            </w:r>
            <w:r w:rsidR="00C04F57" w:rsidRPr="00DE2D1D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>4</w:t>
            </w:r>
            <w:r w:rsidR="00FB6B7D" w:rsidRPr="00DE2D1D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- 21</w:t>
            </w:r>
            <w:r w:rsidRPr="00DE2D1D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>days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72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26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151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51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85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59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A4D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BC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3C7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55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92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60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0B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68E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284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55D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69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FF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16A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ECC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06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369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F8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8C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1EE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D01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1B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4F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0F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95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018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C1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6B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F7B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E56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6EC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3B7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B6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3FD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F51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F6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C10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</w:tr>
      <w:tr w:rsidR="00E25014" w:rsidRPr="003E1647" w14:paraId="62362F4D" w14:textId="77777777" w:rsidTr="00B813E8">
        <w:trPr>
          <w:trHeight w:val="42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C300DE" w14:textId="77777777" w:rsidR="00550C38" w:rsidRPr="00DE2D1D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DE2D1D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Advice given about managing symptoms including fever </w:t>
            </w:r>
          </w:p>
          <w:p w14:paraId="1705022B" w14:textId="61523390" w:rsidR="00550C38" w:rsidRPr="00DE2D1D" w:rsidRDefault="00254940" w:rsidP="00E25014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DE2D1D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     </w:t>
            </w:r>
            <w:r w:rsidR="00550C38" w:rsidRPr="00DE2D1D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>Self-care advice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3F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6B5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F6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7C4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01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81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BC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95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DE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71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7C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CF4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D2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112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A0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172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8CB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B0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132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E62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481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D06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F4A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E18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3A2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E8C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F92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FF4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7D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08F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E5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67E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A2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5C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F1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F8A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F83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57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DD4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F3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18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491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</w:tr>
      <w:tr w:rsidR="00E25014" w:rsidRPr="003E1647" w14:paraId="54C39F7A" w14:textId="77777777" w:rsidTr="00B813E8">
        <w:trPr>
          <w:trHeight w:val="44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C19A67" w14:textId="637FB905" w:rsidR="00550C38" w:rsidRPr="00DE2D1D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r w:rsidRPr="00DE2D1D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Information about when to re-</w:t>
            </w:r>
            <w:proofErr w:type="gramStart"/>
            <w:r w:rsidRPr="00DE2D1D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consult  </w:t>
            </w:r>
            <w:r w:rsidR="00C04F57" w:rsidRPr="00DE2D1D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>S</w:t>
            </w:r>
            <w:r w:rsidRPr="00DE2D1D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>afety</w:t>
            </w:r>
            <w:proofErr w:type="gramEnd"/>
            <w:r w:rsidRPr="00DE2D1D">
              <w:rPr>
                <w:rFonts w:eastAsia="Times New Roman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netting advice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DC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E04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DF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9AC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D82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2BE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F6F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F3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3E1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9C1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11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8DA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279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EFA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5D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95F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AEF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84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EA2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C1C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48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3E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01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327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E3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2F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B6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68A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5F8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8F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7D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757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15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9A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402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17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198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C66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08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A8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FB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342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</w:tr>
      <w:tr w:rsidR="00E25014" w:rsidRPr="003E1647" w14:paraId="2BCA9202" w14:textId="77777777" w:rsidTr="00B813E8">
        <w:trPr>
          <w:trHeight w:val="44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9F232" w14:textId="77777777" w:rsidR="00550C38" w:rsidRPr="00DE2D1D" w:rsidRDefault="00550C38" w:rsidP="00E2501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Calibri" w:cs="Arial"/>
                <w:sz w:val="16"/>
                <w:szCs w:val="16"/>
              </w:rPr>
            </w:pPr>
            <w:r w:rsidRPr="00DE2D1D">
              <w:rPr>
                <w:rFonts w:eastAsia="Calibri" w:cs="Arial"/>
                <w:sz w:val="16"/>
                <w:szCs w:val="16"/>
              </w:rPr>
              <w:t>Information shared on antibiotic use and resistance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511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B80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40A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466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B1A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542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297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68BE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0D3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9B5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9C6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9A3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33C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468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EF8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EE3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EFC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A01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D43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585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8A5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420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75A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997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0F8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0CC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EF4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7CF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B5D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F10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31D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196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907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EB1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CFD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0F9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25A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D6B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93F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F78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6BA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F5E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  <w:tr w:rsidR="00E25014" w:rsidRPr="003E1647" w14:paraId="1E275521" w14:textId="77777777" w:rsidTr="00B813E8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03092" w14:textId="4A40F773" w:rsidR="00550C38" w:rsidRPr="00DE2D1D" w:rsidRDefault="00526DA2" w:rsidP="00C04F57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/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</w:pPr>
            <w:hyperlink r:id="rId14" w:history="1">
              <w:r w:rsidR="00550C38" w:rsidRPr="00DE2D1D">
                <w:rPr>
                  <w:rFonts w:eastAsia="Times New Roman" w:cs="Arial"/>
                  <w:bCs/>
                  <w:color w:val="000000"/>
                  <w:sz w:val="16"/>
                  <w:szCs w:val="16"/>
                  <w:lang w:eastAsia="en-GB"/>
                </w:rPr>
                <w:t>Shared the TARGET Treating Your Infection RTI leaflet</w:t>
              </w:r>
            </w:hyperlink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C5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BB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66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4C1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673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966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84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A79D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37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D94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8B6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06B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8BB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171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7924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08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EB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17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EE8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DB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473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81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D7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46E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455E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F02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8A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0B1F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AEC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E39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DD4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E46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395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CEB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A173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697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7971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DD2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5CDA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EFB0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FA45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FFE8" w14:textId="77777777" w:rsidR="00550C38" w:rsidRPr="009B267C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</w:tr>
      <w:tr w:rsidR="00550C38" w:rsidRPr="003E1647" w14:paraId="324C0206" w14:textId="77777777" w:rsidTr="00B813E8">
        <w:trPr>
          <w:trHeight w:val="265"/>
        </w:trPr>
        <w:tc>
          <w:tcPr>
            <w:tcW w:w="1570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99167" w14:textId="77777777" w:rsidR="00550C38" w:rsidRPr="00DE2D1D" w:rsidRDefault="00550C38" w:rsidP="00550C3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E2D1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If antibiotics prescribed</w:t>
            </w:r>
            <w:r w:rsidRPr="00DE2D1D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 xml:space="preserve"> (N=_____</w:t>
            </w:r>
            <w:proofErr w:type="gramStart"/>
            <w:r w:rsidRPr="00DE2D1D">
              <w:rPr>
                <w:rFonts w:eastAsia="Times New Roman" w:cs="Arial"/>
                <w:bCs/>
                <w:color w:val="000000"/>
                <w:sz w:val="16"/>
                <w:szCs w:val="16"/>
                <w:lang w:eastAsia="en-GB"/>
              </w:rPr>
              <w:t>_ )</w:t>
            </w:r>
            <w:proofErr w:type="gramEnd"/>
          </w:p>
        </w:tc>
      </w:tr>
      <w:tr w:rsidR="00E25014" w:rsidRPr="003E1647" w14:paraId="535E8B4B" w14:textId="77777777" w:rsidTr="00B813E8">
        <w:trPr>
          <w:trHeight w:val="11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537BA0" w14:textId="6502869B" w:rsidR="00254940" w:rsidRPr="00DE2D1D" w:rsidRDefault="00254940" w:rsidP="00FB6B7D">
            <w:pPr>
              <w:pStyle w:val="ListParagraph"/>
              <w:numPr>
                <w:ilvl w:val="0"/>
                <w:numId w:val="7"/>
              </w:numPr>
              <w:spacing w:after="0"/>
              <w:ind w:left="284" w:hanging="284"/>
              <w:rPr>
                <w:rFonts w:eastAsia="Times New Roman"/>
                <w:bCs/>
                <w:sz w:val="16"/>
                <w:szCs w:val="18"/>
                <w:lang w:eastAsia="en-GB"/>
              </w:rPr>
            </w:pPr>
            <w:r w:rsidRPr="00DE2D1D">
              <w:rPr>
                <w:rFonts w:cs="Arial"/>
                <w:color w:val="000000"/>
                <w:sz w:val="16"/>
                <w:szCs w:val="18"/>
              </w:rPr>
              <w:t xml:space="preserve">Antibiotic choice correct </w:t>
            </w:r>
            <w:r w:rsidRPr="00DE2D1D">
              <w:rPr>
                <w:rFonts w:cs="Arial"/>
                <w:color w:val="000000"/>
                <w:sz w:val="16"/>
                <w:szCs w:val="18"/>
              </w:rPr>
              <w:br/>
            </w:r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 xml:space="preserve">1st line: </w:t>
            </w:r>
            <w:r w:rsidR="00C04F57"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>phenoxymethylpenicillin</w:t>
            </w:r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br/>
            </w:r>
            <w:r w:rsidR="00C04F57"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>Penicillin allergy: doxycycline OR clarithromycin</w:t>
            </w:r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br/>
            </w:r>
            <w:r w:rsidR="00C04F57"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>Very unwell</w:t>
            </w:r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>: Co-amoxiclav</w:t>
            </w:r>
          </w:p>
          <w:p w14:paraId="403FCAB9" w14:textId="7BFD1036" w:rsidR="00FB6B7D" w:rsidRPr="00DE2D1D" w:rsidRDefault="00FB6B7D" w:rsidP="00FB6B7D">
            <w:pPr>
              <w:pStyle w:val="ListParagraph"/>
              <w:spacing w:after="0"/>
              <w:ind w:left="284"/>
              <w:rPr>
                <w:rFonts w:eastAsia="Times New Roman"/>
                <w:bCs/>
                <w:sz w:val="16"/>
                <w:szCs w:val="18"/>
                <w:lang w:eastAsia="en-GB"/>
              </w:rPr>
            </w:pPr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>Mometasone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D83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706B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8CF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CBC0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423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298B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87E0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FB4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701F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5D4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A87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6E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BDC6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2E52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E04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3B35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C3C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B45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BF2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288F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106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387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818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428C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6AF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88A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BC1E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9767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F5B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CDBC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5733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1852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EA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1335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C7AB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EF26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3A3B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078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69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A48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913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BB3A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</w:tr>
      <w:tr w:rsidR="00E25014" w:rsidRPr="003E1647" w14:paraId="4329D882" w14:textId="77777777" w:rsidTr="00B813E8">
        <w:trPr>
          <w:trHeight w:val="2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223B00" w14:textId="041526B4" w:rsidR="00C04F57" w:rsidRPr="00DE2D1D" w:rsidRDefault="00254940" w:rsidP="00FB6B7D">
            <w:pPr>
              <w:pStyle w:val="ListParagraph"/>
              <w:numPr>
                <w:ilvl w:val="0"/>
                <w:numId w:val="7"/>
              </w:numPr>
              <w:spacing w:after="0"/>
              <w:ind w:left="0" w:firstLine="0"/>
              <w:rPr>
                <w:rFonts w:eastAsia="Times New Roman"/>
                <w:bCs/>
                <w:sz w:val="16"/>
                <w:szCs w:val="18"/>
                <w:lang w:eastAsia="en-GB"/>
              </w:rPr>
            </w:pPr>
            <w:r w:rsidRPr="00DE2D1D">
              <w:rPr>
                <w:rFonts w:cs="Arial"/>
                <w:color w:val="000000"/>
                <w:sz w:val="16"/>
                <w:szCs w:val="18"/>
              </w:rPr>
              <w:t xml:space="preserve">Dose/frequency correct </w:t>
            </w:r>
            <w:r w:rsidRPr="00DE2D1D">
              <w:rPr>
                <w:rFonts w:cs="Arial"/>
                <w:color w:val="000000"/>
                <w:sz w:val="16"/>
                <w:szCs w:val="18"/>
              </w:rPr>
              <w:br/>
            </w:r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>1</w:t>
            </w:r>
            <w:proofErr w:type="gramStart"/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>st :</w:t>
            </w:r>
            <w:proofErr w:type="gramEnd"/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 xml:space="preserve"> 500</w:t>
            </w:r>
            <w:r w:rsidR="00C04F57"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 xml:space="preserve">mg QDS or </w:t>
            </w:r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 xml:space="preserve">1g </w:t>
            </w:r>
            <w:r w:rsidR="00C04F57"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>BD</w:t>
            </w:r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br/>
            </w:r>
            <w:r w:rsidR="00C04F57"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>Doxycycline : 2</w:t>
            </w:r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 xml:space="preserve">00mg </w:t>
            </w:r>
            <w:r w:rsidR="00C04F57"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>stat then 100mg OD</w:t>
            </w:r>
          </w:p>
          <w:p w14:paraId="3A7A6BBB" w14:textId="77777777" w:rsidR="00FB6B7D" w:rsidRPr="00DE2D1D" w:rsidRDefault="00C04F57" w:rsidP="00FB6B7D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  <w:r w:rsidRPr="00DE2D1D">
              <w:rPr>
                <w:i/>
                <w:iCs/>
                <w:color w:val="000000"/>
                <w:sz w:val="16"/>
                <w:szCs w:val="18"/>
              </w:rPr>
              <w:t>Clarithromycin: 500mg BD</w:t>
            </w:r>
            <w:r w:rsidR="00254940" w:rsidRPr="00DE2D1D">
              <w:rPr>
                <w:i/>
                <w:iCs/>
                <w:color w:val="000000"/>
                <w:sz w:val="16"/>
                <w:szCs w:val="18"/>
              </w:rPr>
              <w:br/>
              <w:t xml:space="preserve">Co-amoxiclav: </w:t>
            </w:r>
            <w:r w:rsidR="00FB6B7D" w:rsidRPr="00DE2D1D">
              <w:rPr>
                <w:b/>
                <w:sz w:val="16"/>
                <w:szCs w:val="16"/>
              </w:rPr>
              <w:t>500/125mg TDS</w:t>
            </w:r>
            <w:r w:rsidR="00FB6B7D" w:rsidRPr="00DE2D1D">
              <w:rPr>
                <w:sz w:val="16"/>
                <w:szCs w:val="16"/>
              </w:rPr>
              <w:t> </w:t>
            </w:r>
          </w:p>
          <w:p w14:paraId="7CAA4072" w14:textId="0597FF68" w:rsidR="00254940" w:rsidRPr="00DE2D1D" w:rsidRDefault="00FB6B7D" w:rsidP="00FB6B7D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  <w:r w:rsidRPr="00DE2D1D">
              <w:rPr>
                <w:i/>
                <w:iCs/>
                <w:color w:val="000000"/>
                <w:sz w:val="16"/>
                <w:szCs w:val="18"/>
              </w:rPr>
              <w:t>Mometasone: 200mcg BD</w:t>
            </w:r>
            <w:r w:rsidRPr="00DE2D1D">
              <w:rPr>
                <w:sz w:val="16"/>
                <w:szCs w:val="16"/>
              </w:rPr>
              <w:t>          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445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A279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D9C4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DEE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254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4335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EB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D1B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48B9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B0C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8D08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454B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2D5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D780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EF1E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0C6B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3964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86F8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C98A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6C2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0016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1D23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D0E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6CC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93D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4DCA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160C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B82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A7E0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6B5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86C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9B0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C8B3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D37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04B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83B8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05B4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C2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F53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7B7F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7088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F07D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  <w:r w:rsidRPr="009B267C"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  <w:t> </w:t>
            </w:r>
          </w:p>
        </w:tc>
      </w:tr>
      <w:tr w:rsidR="00E25014" w:rsidRPr="003E1647" w14:paraId="7A610F9E" w14:textId="77777777" w:rsidTr="00B813E8">
        <w:trPr>
          <w:trHeight w:val="2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499F6" w14:textId="551DB7F6" w:rsidR="00254940" w:rsidRPr="00DE2D1D" w:rsidRDefault="00254940" w:rsidP="00C04F57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eastAsia="Times New Roman"/>
                <w:bCs/>
                <w:sz w:val="16"/>
                <w:szCs w:val="18"/>
                <w:lang w:eastAsia="en-GB"/>
              </w:rPr>
            </w:pPr>
            <w:r w:rsidRPr="00DE2D1D">
              <w:rPr>
                <w:rFonts w:cs="Arial"/>
                <w:color w:val="000000"/>
                <w:sz w:val="16"/>
                <w:szCs w:val="18"/>
              </w:rPr>
              <w:t>Course length correct</w:t>
            </w:r>
            <w:r w:rsidRPr="00DE2D1D">
              <w:rPr>
                <w:rFonts w:cs="Arial"/>
                <w:color w:val="000000"/>
                <w:sz w:val="16"/>
                <w:szCs w:val="18"/>
              </w:rPr>
              <w:br/>
            </w:r>
            <w:r w:rsidR="00C04F57"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 xml:space="preserve">Mometasone 14d; </w:t>
            </w:r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 xml:space="preserve">all </w:t>
            </w:r>
            <w:r w:rsidR="00C04F57"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>others 5</w:t>
            </w:r>
            <w:r w:rsidRPr="00DE2D1D">
              <w:rPr>
                <w:rFonts w:cs="Arial"/>
                <w:i/>
                <w:iCs/>
                <w:color w:val="000000"/>
                <w:sz w:val="16"/>
                <w:szCs w:val="18"/>
              </w:rPr>
              <w:t>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4DC8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BC36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333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B4E4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83B8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EB1B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4CAA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F824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4382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C88A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28B5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61AC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CFC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4FCC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0D3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E099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3895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6E4B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F5A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1F25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995F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9D9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8529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6CA7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3F20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7D27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026D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7D0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8F4E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9036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182B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1E6F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68FC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4B29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45E7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78DF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E790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7660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80C68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A8DA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A070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E271" w14:textId="77777777" w:rsidR="00254940" w:rsidRPr="009B267C" w:rsidRDefault="00254940" w:rsidP="00550C3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6"/>
                <w:lang w:eastAsia="en-GB"/>
              </w:rPr>
            </w:pPr>
          </w:p>
        </w:tc>
      </w:tr>
    </w:tbl>
    <w:p w14:paraId="4E39B30D" w14:textId="77777777" w:rsidR="00550C38" w:rsidRPr="00550C38" w:rsidRDefault="00550C38" w:rsidP="00550C38">
      <w:pPr>
        <w:spacing w:after="80" w:line="240" w:lineRule="auto"/>
        <w:rPr>
          <w:rFonts w:eastAsia="Calibri" w:cs="Arial"/>
          <w:b/>
          <w:color w:val="1F497D"/>
        </w:rPr>
        <w:sectPr w:rsidR="00550C38" w:rsidRPr="00550C38" w:rsidSect="007512D2">
          <w:pgSz w:w="16838" w:h="11906" w:orient="landscape"/>
          <w:pgMar w:top="720" w:right="720" w:bottom="720" w:left="720" w:header="680" w:footer="198" w:gutter="0"/>
          <w:cols w:space="708"/>
          <w:docGrid w:linePitch="360"/>
        </w:sectPr>
      </w:pPr>
    </w:p>
    <w:p w14:paraId="1696CFE5" w14:textId="77777777" w:rsidR="00550C38" w:rsidRPr="00550C38" w:rsidRDefault="00550C38" w:rsidP="00550C38">
      <w:pPr>
        <w:spacing w:after="80" w:line="240" w:lineRule="auto"/>
        <w:rPr>
          <w:rFonts w:eastAsia="Calibri" w:cs="Arial"/>
        </w:rPr>
      </w:pPr>
      <w:r w:rsidRPr="00550C38">
        <w:rPr>
          <w:rFonts w:eastAsia="Calibri" w:cs="Arial"/>
        </w:rPr>
        <w:lastRenderedPageBreak/>
        <w:t xml:space="preserve">For ease of use you can now summarise your data the Summary table below. </w:t>
      </w:r>
    </w:p>
    <w:tbl>
      <w:tblPr>
        <w:tblStyle w:val="TableGrid1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992"/>
        <w:gridCol w:w="1134"/>
      </w:tblGrid>
      <w:tr w:rsidR="00550C38" w:rsidRPr="00550C38" w14:paraId="35440114" w14:textId="77777777" w:rsidTr="00B813E8">
        <w:trPr>
          <w:trHeight w:val="510"/>
        </w:trPr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14:paraId="249687A9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>Total number of patients</w:t>
            </w:r>
          </w:p>
        </w:tc>
        <w:tc>
          <w:tcPr>
            <w:tcW w:w="3260" w:type="dxa"/>
            <w:gridSpan w:val="3"/>
            <w:vAlign w:val="center"/>
          </w:tcPr>
          <w:p w14:paraId="3DDF2966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>…………………..</w:t>
            </w:r>
          </w:p>
        </w:tc>
      </w:tr>
      <w:tr w:rsidR="00550C38" w:rsidRPr="00550C38" w14:paraId="27E20631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CEA19A3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sz w:val="18"/>
                <w:szCs w:val="18"/>
              </w:rPr>
              <w:t>Row in table below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0BE62CA1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sz w:val="18"/>
                <w:szCs w:val="18"/>
              </w:rPr>
              <w:t>Criteria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184AC8A0" w14:textId="77777777" w:rsidR="00550C38" w:rsidRPr="00550C38" w:rsidRDefault="00550C38" w:rsidP="00550C38">
            <w:pPr>
              <w:spacing w:after="0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>Number of patients</w:t>
            </w:r>
          </w:p>
          <w:p w14:paraId="07FF5514" w14:textId="77777777" w:rsidR="00550C38" w:rsidRPr="00550C38" w:rsidRDefault="00550C38" w:rsidP="00550C38">
            <w:pPr>
              <w:spacing w:after="0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>(N)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696FA785" w14:textId="77777777" w:rsidR="00550C38" w:rsidRPr="00550C38" w:rsidRDefault="00550C38" w:rsidP="00550C38">
            <w:pPr>
              <w:spacing w:after="0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>Total % of Patients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B7A8F8D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sz w:val="18"/>
                <w:szCs w:val="18"/>
              </w:rPr>
              <w:t>Target %</w:t>
            </w:r>
          </w:p>
        </w:tc>
      </w:tr>
      <w:tr w:rsidR="00550C38" w:rsidRPr="00550C38" w14:paraId="157E581A" w14:textId="77777777" w:rsidTr="00550C38">
        <w:trPr>
          <w:trHeight w:val="206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251443EB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>Management decision</w:t>
            </w:r>
          </w:p>
        </w:tc>
      </w:tr>
      <w:tr w:rsidR="00550C38" w:rsidRPr="00550C38" w14:paraId="030D0EDF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644D4AA" w14:textId="0B03F109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99F3B6D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No antibiotic given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B78AE2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57C21C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BEAD59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&gt;70%</w:t>
            </w:r>
          </w:p>
        </w:tc>
      </w:tr>
      <w:tr w:rsidR="00550C38" w:rsidRPr="00550C38" w14:paraId="6215E787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70024D4" w14:textId="61E053C4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B91AC1D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Back-up/delayed antibiotic given with advice about how to access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84AFE0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5BE7F6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DE9C0F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&lt;40%</w:t>
            </w:r>
          </w:p>
        </w:tc>
      </w:tr>
      <w:tr w:rsidR="00550C38" w:rsidRPr="00550C38" w14:paraId="0E02DCF4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D601E73" w14:textId="6566DABF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7D1E02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Immediate antibiotic given with advice on compliance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512B6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DB9DD2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4242A0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&lt;30%</w:t>
            </w:r>
          </w:p>
        </w:tc>
      </w:tr>
      <w:tr w:rsidR="00550C38" w:rsidRPr="00550C38" w14:paraId="4EFAF442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EE3348A" w14:textId="6009CC86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521" w:type="dxa"/>
            <w:vAlign w:val="center"/>
          </w:tcPr>
          <w:p w14:paraId="0D6358F2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Management appropriate for clinical presentation?</w:t>
            </w:r>
          </w:p>
        </w:tc>
        <w:tc>
          <w:tcPr>
            <w:tcW w:w="1134" w:type="dxa"/>
            <w:vAlign w:val="center"/>
          </w:tcPr>
          <w:p w14:paraId="3757E1FA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41851826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29FC4BF6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100%</w:t>
            </w:r>
          </w:p>
        </w:tc>
      </w:tr>
      <w:tr w:rsidR="00550C38" w:rsidRPr="00550C38" w14:paraId="28093C55" w14:textId="77777777" w:rsidTr="00550C38">
        <w:trPr>
          <w:trHeight w:val="269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0C79644B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 xml:space="preserve">Providing Advice </w:t>
            </w:r>
          </w:p>
        </w:tc>
      </w:tr>
      <w:tr w:rsidR="00550C38" w:rsidRPr="00550C38" w14:paraId="6399FD03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55C4D5E" w14:textId="3389E18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521" w:type="dxa"/>
            <w:vAlign w:val="center"/>
          </w:tcPr>
          <w:p w14:paraId="4110C360" w14:textId="3DFAE68C" w:rsidR="00550C38" w:rsidRPr="00550C38" w:rsidRDefault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 xml:space="preserve">Advice given on natural history and average length of illness – </w:t>
            </w:r>
            <w:r w:rsidR="00254940">
              <w:rPr>
                <w:rFonts w:eastAsia="Calibri" w:cs="Arial"/>
                <w:bCs/>
                <w:i/>
                <w:sz w:val="18"/>
                <w:szCs w:val="18"/>
              </w:rPr>
              <w:t xml:space="preserve">18 </w:t>
            </w:r>
            <w:r w:rsidRPr="00550C38">
              <w:rPr>
                <w:rFonts w:eastAsia="Calibri" w:cs="Arial"/>
                <w:bCs/>
                <w:i/>
                <w:sz w:val="18"/>
                <w:szCs w:val="18"/>
              </w:rPr>
              <w:t>days</w:t>
            </w:r>
          </w:p>
        </w:tc>
        <w:tc>
          <w:tcPr>
            <w:tcW w:w="1134" w:type="dxa"/>
            <w:vAlign w:val="center"/>
          </w:tcPr>
          <w:p w14:paraId="3B240481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FCD9F67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3E692AC1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100%</w:t>
            </w:r>
          </w:p>
        </w:tc>
      </w:tr>
      <w:tr w:rsidR="00550C38" w:rsidRPr="00550C38" w14:paraId="6C427885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58C4032" w14:textId="00B1DAF8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521" w:type="dxa"/>
            <w:vAlign w:val="center"/>
          </w:tcPr>
          <w:p w14:paraId="10878B6B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Advice given about managing symptoms (</w:t>
            </w:r>
            <w:r w:rsidRPr="00550C38">
              <w:rPr>
                <w:rFonts w:eastAsia="Calibri" w:cs="Arial"/>
                <w:bCs/>
                <w:i/>
                <w:sz w:val="18"/>
                <w:szCs w:val="18"/>
              </w:rPr>
              <w:t>Self-care advice</w:t>
            </w:r>
            <w:r w:rsidRPr="00550C38">
              <w:rPr>
                <w:rFonts w:eastAsia="Calibri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3AFC45C3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7B0D2506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252598E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550C38" w:rsidRPr="00550C38" w14:paraId="17720D17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D1681A6" w14:textId="5FAD47DA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521" w:type="dxa"/>
            <w:vAlign w:val="center"/>
          </w:tcPr>
          <w:p w14:paraId="73789664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Information about when to re-consult (</w:t>
            </w:r>
            <w:r w:rsidRPr="00550C38">
              <w:rPr>
                <w:rFonts w:eastAsia="Calibri" w:cs="Arial"/>
                <w:bCs/>
                <w:i/>
                <w:sz w:val="18"/>
                <w:szCs w:val="18"/>
              </w:rPr>
              <w:t>Safety netting advice</w:t>
            </w:r>
            <w:r w:rsidRPr="00550C38">
              <w:rPr>
                <w:rFonts w:eastAsia="Calibri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742E7967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35F46705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20F55E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550C38" w:rsidRPr="00550C38" w14:paraId="671D5352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D6CDB17" w14:textId="4584B022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6521" w:type="dxa"/>
            <w:vAlign w:val="center"/>
          </w:tcPr>
          <w:p w14:paraId="241DA985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 xml:space="preserve">Information given about antibiotic use and resistance </w:t>
            </w:r>
          </w:p>
          <w:p w14:paraId="20FD1495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0B53A0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5593DD24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4979AE0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550C38" w:rsidRPr="00550C38" w14:paraId="679A0E6E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6B1269B9" w14:textId="781E86E3" w:rsidR="00550C38" w:rsidRPr="003E1647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3E1647">
              <w:rPr>
                <w:rFonts w:eastAsia="Calibri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521" w:type="dxa"/>
            <w:vAlign w:val="center"/>
          </w:tcPr>
          <w:p w14:paraId="3C6EBE7E" w14:textId="77777777" w:rsidR="00550C38" w:rsidRPr="003E1647" w:rsidRDefault="00526DA2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hyperlink r:id="rId15" w:history="1">
              <w:r w:rsidR="00550C38" w:rsidRPr="003E1647">
                <w:rPr>
                  <w:rFonts w:eastAsia="Times New Roman" w:cs="Arial"/>
                  <w:bCs/>
                  <w:color w:val="000000"/>
                  <w:sz w:val="18"/>
                  <w:szCs w:val="16"/>
                  <w:lang w:eastAsia="en-GB"/>
                </w:rPr>
                <w:t>Shared the TARGET Treating Your Infection RTI leaflet</w:t>
              </w:r>
            </w:hyperlink>
          </w:p>
        </w:tc>
        <w:tc>
          <w:tcPr>
            <w:tcW w:w="1134" w:type="dxa"/>
            <w:vAlign w:val="center"/>
          </w:tcPr>
          <w:p w14:paraId="7F8EAAFB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1F425CC4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FED8F2A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550C38" w:rsidRPr="00550C38" w14:paraId="57C7919B" w14:textId="77777777" w:rsidTr="00B813E8">
        <w:trPr>
          <w:trHeight w:val="510"/>
        </w:trPr>
        <w:tc>
          <w:tcPr>
            <w:tcW w:w="10598" w:type="dxa"/>
            <w:gridSpan w:val="5"/>
            <w:shd w:val="clear" w:color="auto" w:fill="F2F2F2" w:themeFill="background1" w:themeFillShade="F2"/>
            <w:vAlign w:val="center"/>
          </w:tcPr>
          <w:p w14:paraId="1C287970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>If antibiotics were prescribed: (N= …</w:t>
            </w:r>
            <w:proofErr w:type="gramStart"/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>…..</w:t>
            </w:r>
            <w:proofErr w:type="gramEnd"/>
            <w:r w:rsidRPr="00550C38">
              <w:rPr>
                <w:rFonts w:eastAsia="Calibri" w:cs="Arial"/>
                <w:b/>
                <w:bCs/>
                <w:sz w:val="18"/>
                <w:szCs w:val="18"/>
              </w:rPr>
              <w:t xml:space="preserve"> )</w:t>
            </w:r>
          </w:p>
        </w:tc>
      </w:tr>
      <w:tr w:rsidR="00550C38" w:rsidRPr="00550C38" w14:paraId="3B2A383A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E29D1EF" w14:textId="4A252B5E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6521" w:type="dxa"/>
            <w:vAlign w:val="center"/>
          </w:tcPr>
          <w:p w14:paraId="07D8B607" w14:textId="77777777" w:rsidR="00254940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 xml:space="preserve">Antibiotic choice correct – </w:t>
            </w:r>
          </w:p>
          <w:p w14:paraId="0F3FFA0F" w14:textId="77777777" w:rsidR="00550C38" w:rsidRDefault="00C04F57" w:rsidP="00FB6B7D">
            <w:pPr>
              <w:spacing w:after="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E25014">
              <w:rPr>
                <w:rFonts w:cs="Arial"/>
                <w:i/>
                <w:iCs/>
                <w:color w:val="000000"/>
                <w:sz w:val="18"/>
                <w:szCs w:val="18"/>
              </w:rPr>
              <w:t>1s</w:t>
            </w:r>
            <w:r w:rsidR="00FB6B7D">
              <w:rPr>
                <w:rFonts w:cs="Arial"/>
                <w:i/>
                <w:iCs/>
                <w:color w:val="000000"/>
                <w:sz w:val="18"/>
                <w:szCs w:val="18"/>
              </w:rPr>
              <w:t>t line: phenoxymethylpenicillin</w:t>
            </w:r>
            <w:r w:rsidRPr="00E25014"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Penicillin allergy: doxycycline OR clarithromycin</w:t>
            </w:r>
            <w:r w:rsidRPr="00E25014"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Very unwell</w:t>
            </w:r>
            <w:r w:rsidRPr="00E25014">
              <w:rPr>
                <w:rFonts w:cs="Arial"/>
                <w:i/>
                <w:iCs/>
                <w:color w:val="000000"/>
                <w:sz w:val="18"/>
                <w:szCs w:val="18"/>
              </w:rPr>
              <w:t>: Co-amoxiclav</w:t>
            </w:r>
          </w:p>
          <w:p w14:paraId="45678382" w14:textId="2468DD94" w:rsidR="00FB6B7D" w:rsidRPr="00550C38" w:rsidRDefault="00FB6B7D" w:rsidP="00FB6B7D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Mometasone</w:t>
            </w:r>
          </w:p>
        </w:tc>
        <w:tc>
          <w:tcPr>
            <w:tcW w:w="1134" w:type="dxa"/>
            <w:vAlign w:val="center"/>
          </w:tcPr>
          <w:p w14:paraId="2F2CE938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68FBDEC3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19DBB61" w14:textId="77777777" w:rsidR="00550C38" w:rsidRPr="00550C38" w:rsidRDefault="00550C38" w:rsidP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>100%</w:t>
            </w:r>
          </w:p>
        </w:tc>
      </w:tr>
      <w:tr w:rsidR="00550C38" w:rsidRPr="00550C38" w14:paraId="0B1256EA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DBBE78E" w14:textId="32601AB1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21" w:type="dxa"/>
            <w:vAlign w:val="center"/>
          </w:tcPr>
          <w:p w14:paraId="1F9A9EA9" w14:textId="7EC17A18" w:rsidR="00550C38" w:rsidRDefault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 xml:space="preserve">Dose/frequency correct </w:t>
            </w:r>
          </w:p>
          <w:p w14:paraId="32DAC635" w14:textId="77777777" w:rsidR="00FB6B7D" w:rsidRPr="00FB6B7D" w:rsidRDefault="00FB6B7D" w:rsidP="00FB6B7D">
            <w:pPr>
              <w:pStyle w:val="ListParagraph"/>
              <w:spacing w:after="0"/>
              <w:ind w:left="0"/>
              <w:rPr>
                <w:rFonts w:eastAsia="Times New Roman"/>
                <w:bCs/>
                <w:sz w:val="18"/>
                <w:szCs w:val="18"/>
                <w:lang w:eastAsia="en-GB"/>
              </w:rPr>
            </w:pPr>
            <w:r w:rsidRPr="00E25014">
              <w:rPr>
                <w:rFonts w:cs="Arial"/>
                <w:i/>
                <w:iCs/>
                <w:color w:val="000000"/>
                <w:sz w:val="18"/>
                <w:szCs w:val="18"/>
              </w:rPr>
              <w:t>1</w:t>
            </w:r>
            <w:proofErr w:type="gramStart"/>
            <w:r w:rsidRPr="00E25014">
              <w:rPr>
                <w:rFonts w:cs="Arial"/>
                <w:i/>
                <w:iCs/>
                <w:color w:val="000000"/>
                <w:sz w:val="18"/>
                <w:szCs w:val="18"/>
              </w:rPr>
              <w:t>st :</w:t>
            </w:r>
            <w:proofErr w:type="gramEnd"/>
            <w:r w:rsidRPr="00E25014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500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mg QDS or </w:t>
            </w:r>
            <w:r w:rsidRPr="00E25014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1g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BD</w:t>
            </w:r>
            <w:r w:rsidRPr="00FB6B7D"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  <w:t>Doxycycline : 200mg stat then 100mg OD</w:t>
            </w:r>
          </w:p>
          <w:p w14:paraId="0DF2B38D" w14:textId="77777777" w:rsidR="00FB6B7D" w:rsidRDefault="00FB6B7D" w:rsidP="00FB6B7D">
            <w:pPr>
              <w:pStyle w:val="PHEBulletpoint"/>
              <w:numPr>
                <w:ilvl w:val="0"/>
                <w:numId w:val="0"/>
              </w:numPr>
              <w:spacing w:line="240" w:lineRule="auto"/>
              <w:ind w:right="-75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Clarithromycin: 500mg BD</w:t>
            </w:r>
            <w:r w:rsidRPr="00E25014">
              <w:rPr>
                <w:i/>
                <w:iCs/>
                <w:color w:val="000000"/>
                <w:sz w:val="18"/>
                <w:szCs w:val="18"/>
              </w:rPr>
              <w:br/>
              <w:t xml:space="preserve">Co-amoxiclav: </w:t>
            </w:r>
            <w:r w:rsidRPr="00FB6B7D">
              <w:rPr>
                <w:b/>
                <w:sz w:val="16"/>
                <w:szCs w:val="16"/>
              </w:rPr>
              <w:t>500/125mg TDS</w:t>
            </w:r>
            <w:r w:rsidRPr="00947916">
              <w:rPr>
                <w:sz w:val="16"/>
                <w:szCs w:val="16"/>
              </w:rPr>
              <w:t> </w:t>
            </w:r>
          </w:p>
          <w:p w14:paraId="0CAF0E4D" w14:textId="32DEE8F6" w:rsidR="00254940" w:rsidRPr="00550C38" w:rsidRDefault="00FB6B7D" w:rsidP="00FB6B7D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Mometasone: </w:t>
            </w:r>
            <w:r w:rsidRPr="00E25014">
              <w:rPr>
                <w:rFonts w:cs="Arial"/>
                <w:i/>
                <w:iCs/>
                <w:color w:val="000000"/>
                <w:sz w:val="18"/>
                <w:szCs w:val="18"/>
              </w:rPr>
              <w:t>200m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c</w:t>
            </w:r>
            <w:r w:rsidRPr="00E25014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g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BD</w:t>
            </w:r>
            <w:r w:rsidRPr="00947916">
              <w:rPr>
                <w:sz w:val="16"/>
                <w:szCs w:val="16"/>
              </w:rPr>
              <w:t>           </w:t>
            </w:r>
          </w:p>
        </w:tc>
        <w:tc>
          <w:tcPr>
            <w:tcW w:w="1134" w:type="dxa"/>
            <w:vAlign w:val="center"/>
          </w:tcPr>
          <w:p w14:paraId="32C4600A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32A51EB9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39876CD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550C38" w:rsidRPr="00550C38" w14:paraId="473CF597" w14:textId="77777777" w:rsidTr="00B813E8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99D0A93" w14:textId="3721226F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521" w:type="dxa"/>
            <w:vAlign w:val="center"/>
          </w:tcPr>
          <w:p w14:paraId="78AB92C0" w14:textId="736AEBAD" w:rsidR="00550C38" w:rsidRPr="00550C38" w:rsidRDefault="00550C38">
            <w:pPr>
              <w:spacing w:after="0"/>
              <w:rPr>
                <w:rFonts w:eastAsia="Calibri" w:cs="Arial"/>
                <w:bCs/>
                <w:sz w:val="18"/>
                <w:szCs w:val="18"/>
              </w:rPr>
            </w:pPr>
            <w:r w:rsidRPr="00550C38">
              <w:rPr>
                <w:rFonts w:eastAsia="Calibri" w:cs="Arial"/>
                <w:bCs/>
                <w:sz w:val="18"/>
                <w:szCs w:val="18"/>
              </w:rPr>
              <w:t xml:space="preserve">Course length correct – </w:t>
            </w:r>
            <w:r w:rsidR="00D15544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Mometasone 14d; </w:t>
            </w:r>
            <w:r w:rsidR="00D15544" w:rsidRPr="00E25014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all </w:t>
            </w:r>
            <w:r w:rsidR="00D15544">
              <w:rPr>
                <w:rFonts w:cs="Arial"/>
                <w:i/>
                <w:iCs/>
                <w:color w:val="000000"/>
                <w:sz w:val="18"/>
                <w:szCs w:val="18"/>
              </w:rPr>
              <w:t>others 5</w:t>
            </w:r>
            <w:r w:rsidR="00D15544" w:rsidRPr="00E25014">
              <w:rPr>
                <w:rFonts w:cs="Arial"/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4" w:type="dxa"/>
            <w:vAlign w:val="center"/>
          </w:tcPr>
          <w:p w14:paraId="6929B86C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14:paraId="0094FE00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EE0F5A7" w14:textId="77777777" w:rsidR="00550C38" w:rsidRPr="00550C38" w:rsidRDefault="00550C38" w:rsidP="00550C38">
            <w:pPr>
              <w:spacing w:after="0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</w:tbl>
    <w:p w14:paraId="0A4F7288" w14:textId="17BD9C6D" w:rsidR="006662FF" w:rsidRDefault="006662FF">
      <w:pPr>
        <w:rPr>
          <w:rFonts w:eastAsia="Times New Roman" w:cs="Arial"/>
          <w:b/>
          <w:bCs/>
          <w:color w:val="1F497D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4E98A93" w14:textId="08356EDF" w:rsidR="007615A9" w:rsidRPr="00B813E8" w:rsidRDefault="005C2E01" w:rsidP="00B813E8">
      <w:pPr>
        <w:pStyle w:val="Heading2"/>
        <w:spacing w:before="240" w:after="0"/>
        <w:contextualSpacing/>
        <w:rPr>
          <w:rFonts w:cs="Arial"/>
          <w:color w:val="AF1E2C"/>
        </w:rPr>
      </w:pPr>
      <w:r w:rsidRPr="00B813E8">
        <w:rPr>
          <w:rFonts w:cs="Arial"/>
          <w:color w:val="AF1E2C"/>
        </w:rPr>
        <w:lastRenderedPageBreak/>
        <w:t>Overall compliance with NICE / PHE Guidance</w:t>
      </w:r>
    </w:p>
    <w:p w14:paraId="4E41F45D" w14:textId="77777777" w:rsidR="003E1647" w:rsidRPr="00B813E8" w:rsidRDefault="003E1647" w:rsidP="00B813E8">
      <w:pPr>
        <w:spacing w:after="80" w:line="240" w:lineRule="auto"/>
        <w:rPr>
          <w:rFonts w:eastAsia="Calibri" w:cs="Arial"/>
          <w:b/>
          <w:color w:val="AF1E2C"/>
        </w:rPr>
      </w:pPr>
    </w:p>
    <w:p w14:paraId="4FA2DA9E" w14:textId="77777777" w:rsidR="005C2E01" w:rsidRDefault="005C2E01" w:rsidP="00B813E8">
      <w:pPr>
        <w:spacing w:after="80" w:line="240" w:lineRule="auto"/>
        <w:rPr>
          <w:rFonts w:eastAsia="Times New Roman" w:cs="Times New Roman"/>
          <w:bCs/>
        </w:rPr>
      </w:pPr>
      <w:r w:rsidRPr="00B813E8">
        <w:rPr>
          <w:rFonts w:eastAsia="Calibri" w:cs="Arial"/>
          <w:b/>
        </w:rPr>
        <w:t>Step 3</w:t>
      </w:r>
      <w:r w:rsidRPr="005C2E01">
        <w:rPr>
          <w:rFonts w:eastAsia="Times New Roman" w:cs="Times New Roman"/>
          <w:bCs/>
        </w:rPr>
        <w:t xml:space="preserve">: </w:t>
      </w:r>
      <w:r w:rsidRPr="005C2E01">
        <w:rPr>
          <w:rFonts w:eastAsia="Times New Roman" w:cs="Arial"/>
          <w:bCs/>
          <w:szCs w:val="26"/>
        </w:rPr>
        <w:t xml:space="preserve">How did you do? </w:t>
      </w:r>
      <w:r w:rsidRPr="005C2E01">
        <w:rPr>
          <w:rFonts w:eastAsia="Times New Roman" w:cs="Times New Roman"/>
          <w:bCs/>
        </w:rPr>
        <w:t xml:space="preserve">Follow the simple calculations below to see how compliant you were with NICE / PHE guidelines.  </w:t>
      </w:r>
    </w:p>
    <w:p w14:paraId="7F3F5329" w14:textId="77777777" w:rsidR="006662FF" w:rsidRPr="005C2E01" w:rsidRDefault="006662FF" w:rsidP="005C2E01">
      <w:pPr>
        <w:spacing w:after="80" w:line="240" w:lineRule="auto"/>
        <w:rPr>
          <w:rFonts w:eastAsia="Times New Roman" w:cs="Times New Roman"/>
          <w:bCs/>
        </w:rPr>
      </w:pPr>
    </w:p>
    <w:p w14:paraId="74C6F21A" w14:textId="77777777" w:rsidR="00550C38" w:rsidRPr="00550C38" w:rsidRDefault="00550C38" w:rsidP="00550C38">
      <w:pPr>
        <w:numPr>
          <w:ilvl w:val="0"/>
          <w:numId w:val="9"/>
        </w:numPr>
        <w:spacing w:after="240" w:line="240" w:lineRule="auto"/>
        <w:ind w:left="714" w:hanging="357"/>
        <w:rPr>
          <w:rFonts w:eastAsia="Calibri" w:cs="Arial"/>
          <w:b/>
        </w:rPr>
      </w:pPr>
      <w:r w:rsidRPr="00550C38">
        <w:rPr>
          <w:rFonts w:eastAsia="Calibri" w:cs="Arial"/>
          <w:b/>
        </w:rPr>
        <w:t>On whether to prescribe an antibiotic</w:t>
      </w:r>
    </w:p>
    <w:p w14:paraId="0F42D02D" w14:textId="410D720E" w:rsidR="00550C38" w:rsidRPr="00550C38" w:rsidRDefault="00526DA2" w:rsidP="00550C38">
      <w:pPr>
        <w:spacing w:after="240" w:line="240" w:lineRule="auto"/>
        <w:ind w:left="714"/>
        <w:rPr>
          <w:rFonts w:eastAsia="Calibri" w:cs="Arial"/>
        </w:rPr>
      </w:pPr>
      <m:oMathPara>
        <m:oMath>
          <m:d>
            <m:dPr>
              <m:ctrlPr>
                <w:rPr>
                  <w:rFonts w:ascii="Cambria Math" w:eastAsia="Calibri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Total number of PHE antibiotic prescribing guidance followed (row D)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Total number of patients in audit</m:t>
                  </m:r>
                </m:den>
              </m:f>
            </m:e>
          </m:d>
          <m:r>
            <w:rPr>
              <w:rFonts w:ascii="Cambria Math" w:eastAsia="Calibri" w:hAnsi="Cambria Math" w:cs="Arial"/>
            </w:rPr>
            <m:t xml:space="preserve"> X 100</m:t>
          </m:r>
        </m:oMath>
      </m:oMathPara>
    </w:p>
    <w:p w14:paraId="11390413" w14:textId="379048E4" w:rsidR="00550C38" w:rsidRPr="00550C38" w:rsidRDefault="00550C38" w:rsidP="003E1647">
      <w:pPr>
        <w:spacing w:before="240" w:after="80" w:line="240" w:lineRule="auto"/>
        <w:ind w:right="119"/>
        <w:jc w:val="both"/>
        <w:rPr>
          <w:rFonts w:eastAsia="Calibri" w:cs="Arial"/>
        </w:rPr>
      </w:pPr>
    </w:p>
    <w:p w14:paraId="535E0972" w14:textId="77777777" w:rsidR="00550C38" w:rsidRPr="00550C38" w:rsidRDefault="00550C38" w:rsidP="00550C38">
      <w:pPr>
        <w:spacing w:after="80" w:line="240" w:lineRule="auto"/>
        <w:rPr>
          <w:rFonts w:eastAsia="Calibri" w:cs="Arial"/>
        </w:rPr>
      </w:pPr>
    </w:p>
    <w:p w14:paraId="599D2B43" w14:textId="0C8A8577" w:rsidR="00550C38" w:rsidRPr="00550C38" w:rsidRDefault="00550C38" w:rsidP="00550C38">
      <w:pPr>
        <w:numPr>
          <w:ilvl w:val="0"/>
          <w:numId w:val="9"/>
        </w:numPr>
        <w:spacing w:after="240" w:line="240" w:lineRule="auto"/>
        <w:ind w:left="714" w:hanging="357"/>
        <w:rPr>
          <w:rFonts w:eastAsia="Calibri" w:cs="Arial"/>
          <w:b/>
        </w:rPr>
      </w:pPr>
      <w:r w:rsidRPr="00550C38">
        <w:rPr>
          <w:rFonts w:eastAsia="Calibri" w:cs="Arial"/>
          <w:b/>
        </w:rPr>
        <w:t>Overall compliance with NICE guidance to share self-help, safety netting advice and antibiotic advice (</w:t>
      </w:r>
      <w:r w:rsidR="00254940">
        <w:rPr>
          <w:rFonts w:eastAsia="Calibri" w:cs="Arial"/>
          <w:b/>
        </w:rPr>
        <w:t>EFGH</w:t>
      </w:r>
      <w:r w:rsidRPr="00550C38">
        <w:rPr>
          <w:rFonts w:eastAsia="Calibri" w:cs="Arial"/>
          <w:b/>
        </w:rPr>
        <w:t>) OR if TARGET Treati</w:t>
      </w:r>
      <w:r>
        <w:rPr>
          <w:rFonts w:eastAsia="Calibri" w:cs="Arial"/>
          <w:b/>
        </w:rPr>
        <w:t>n</w:t>
      </w:r>
      <w:r w:rsidRPr="00550C38">
        <w:rPr>
          <w:rFonts w:eastAsia="Calibri" w:cs="Arial"/>
          <w:b/>
        </w:rPr>
        <w:t>g Your Infection RTI leaflet shared(</w:t>
      </w:r>
      <w:r w:rsidR="00254940">
        <w:rPr>
          <w:rFonts w:eastAsia="Calibri" w:cs="Arial"/>
          <w:b/>
        </w:rPr>
        <w:t>I</w:t>
      </w:r>
      <w:r w:rsidRPr="00550C38">
        <w:rPr>
          <w:rFonts w:eastAsia="Calibri" w:cs="Arial"/>
          <w:b/>
        </w:rPr>
        <w:t xml:space="preserve">) </w:t>
      </w:r>
    </w:p>
    <w:p w14:paraId="7D9182CD" w14:textId="64C004FC" w:rsidR="00550C38" w:rsidRPr="00550C38" w:rsidRDefault="00526DA2" w:rsidP="00550C38">
      <w:pPr>
        <w:spacing w:after="240" w:line="240" w:lineRule="auto"/>
        <w:ind w:left="714"/>
        <w:rPr>
          <w:rFonts w:eastAsia="Calibri" w:cs="Arial"/>
        </w:rPr>
      </w:pPr>
      <m:oMathPara>
        <m:oMath>
          <m:d>
            <m:dPr>
              <m:ctrlPr>
                <w:rPr>
                  <w:rFonts w:ascii="Cambria Math" w:eastAsia="Calibri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Arial"/>
                        </w:rPr>
                        <m:t xml:space="preserve">Number of patients where self help advice, safety netting advice </m:t>
                      </m:r>
                    </m:e>
                    <m:e>
                      <m:r>
                        <w:rPr>
                          <w:rFonts w:ascii="Cambria Math" w:eastAsia="Calibri" w:hAnsi="Cambria Math" w:cs="Arial"/>
                        </w:rPr>
                        <m:t>OR the TARGET Treating your infection leafelt was shared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AVG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libri" w:hAnsi="Cambria Math" w:cs="Arial"/>
                                </w:rPr>
                                <m:t>AVG rows EFGH</m:t>
                              </m:r>
                            </m:e>
                          </m:d>
                          <m:r>
                            <w:rPr>
                              <w:rFonts w:ascii="Cambria Math" w:eastAsia="Calibri" w:hAnsi="Cambria Math" w:cs="Arial"/>
                            </w:rPr>
                            <m:t>+Row I</m:t>
                          </m:r>
                          <m:ctrlPr>
                            <w:rPr>
                              <w:rFonts w:ascii="Cambria Math" w:eastAsia="Calibri" w:hAnsi="Cambria Math" w:cs="Arial"/>
                              <w:i/>
                            </w:rPr>
                          </m:ctrlPr>
                        </m:e>
                      </m:d>
                    </m:e>
                  </m:eqArr>
                </m:num>
                <m:den>
                  <m:r>
                    <w:rPr>
                      <w:rFonts w:ascii="Cambria Math" w:eastAsia="Calibri" w:hAnsi="Cambria Math" w:cs="Arial"/>
                    </w:rPr>
                    <m:t>Total number of patients in audit</m:t>
                  </m:r>
                </m:den>
              </m:f>
            </m:e>
          </m:d>
          <m:r>
            <w:rPr>
              <w:rFonts w:ascii="Cambria Math" w:eastAsia="Calibri" w:hAnsi="Cambria Math" w:cs="Arial"/>
            </w:rPr>
            <m:t xml:space="preserve"> X 100</m:t>
          </m:r>
        </m:oMath>
      </m:oMathPara>
    </w:p>
    <w:p w14:paraId="5253EE07" w14:textId="77777777" w:rsidR="00550C38" w:rsidRPr="00550C38" w:rsidRDefault="00550C38" w:rsidP="00550C38">
      <w:pPr>
        <w:spacing w:after="240" w:line="240" w:lineRule="auto"/>
        <w:ind w:left="714"/>
        <w:rPr>
          <w:rFonts w:eastAsia="Calibri" w:cs="Arial"/>
        </w:rPr>
      </w:pPr>
    </w:p>
    <w:p w14:paraId="78DF709C" w14:textId="77777777" w:rsidR="00550C38" w:rsidRPr="00550C38" w:rsidRDefault="00550C38" w:rsidP="00550C38">
      <w:pPr>
        <w:numPr>
          <w:ilvl w:val="0"/>
          <w:numId w:val="9"/>
        </w:numPr>
        <w:spacing w:after="240" w:line="240" w:lineRule="auto"/>
        <w:ind w:left="714" w:hanging="357"/>
        <w:rPr>
          <w:rFonts w:eastAsia="Times New Roman" w:cs="Arial"/>
          <w:b/>
          <w:bCs/>
        </w:rPr>
      </w:pPr>
      <w:r w:rsidRPr="00550C38">
        <w:rPr>
          <w:rFonts w:eastAsia="Times New Roman" w:cs="Arial"/>
          <w:b/>
          <w:bCs/>
        </w:rPr>
        <w:t>If antibiotics were used, total number given correct antibiotic, dose/frequency and course length (</w:t>
      </w:r>
      <w:proofErr w:type="gramStart"/>
      <w:r w:rsidRPr="00550C38">
        <w:rPr>
          <w:rFonts w:eastAsia="Times New Roman" w:cs="Arial"/>
          <w:b/>
          <w:bCs/>
        </w:rPr>
        <w:t>KLM )</w:t>
      </w:r>
      <w:proofErr w:type="gramEnd"/>
      <w:r w:rsidRPr="00550C38">
        <w:rPr>
          <w:rFonts w:eastAsia="Times New Roman" w:cs="Arial"/>
          <w:b/>
          <w:bCs/>
        </w:rPr>
        <w:t xml:space="preserve"> </w:t>
      </w:r>
    </w:p>
    <w:p w14:paraId="2EF00A5B" w14:textId="484381AE" w:rsidR="00550C38" w:rsidRPr="00550C38" w:rsidRDefault="00526DA2" w:rsidP="00550C38">
      <w:pPr>
        <w:spacing w:after="240" w:line="240" w:lineRule="auto"/>
        <w:ind w:left="714"/>
        <w:rPr>
          <w:rFonts w:eastAsia="Calibri" w:cs="Arial"/>
        </w:rPr>
      </w:pPr>
      <m:oMathPara>
        <m:oMath>
          <m:d>
            <m:dPr>
              <m:ctrlPr>
                <w:rPr>
                  <w:rFonts w:ascii="Cambria Math" w:eastAsia="Calibri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All parameters of antibiotic prescribing correct (rows J+ K+L)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Total number of patients prescribed an antibiotic (rows B+C)</m:t>
                  </m:r>
                </m:den>
              </m:f>
            </m:e>
          </m:d>
          <m:r>
            <w:rPr>
              <w:rFonts w:ascii="Cambria Math" w:eastAsia="Calibri" w:hAnsi="Cambria Math" w:cs="Arial"/>
            </w:rPr>
            <m:t xml:space="preserve"> X 100</m:t>
          </m:r>
        </m:oMath>
      </m:oMathPara>
    </w:p>
    <w:p w14:paraId="2565AE14" w14:textId="77777777" w:rsidR="007615A9" w:rsidRPr="001C6D0D" w:rsidRDefault="007615A9" w:rsidP="008E16CC">
      <w:pPr>
        <w:spacing w:after="0"/>
        <w:contextualSpacing/>
        <w:rPr>
          <w:rFonts w:cs="Arial"/>
          <w:sz w:val="24"/>
          <w:szCs w:val="24"/>
        </w:rPr>
      </w:pPr>
    </w:p>
    <w:p w14:paraId="0A06B3FA" w14:textId="392EF0A3" w:rsidR="001356EF" w:rsidRPr="001C6D0D" w:rsidRDefault="006662FF" w:rsidP="008E16CC">
      <w:pPr>
        <w:spacing w:after="0"/>
        <w:contextualSpacing/>
        <w:rPr>
          <w:rFonts w:cs="Arial"/>
          <w:sz w:val="24"/>
          <w:szCs w:val="24"/>
        </w:rPr>
      </w:pPr>
      <w:r w:rsidRPr="005B447D">
        <w:rPr>
          <w:rFonts w:eastAsia="Times New Roman" w:cs="Arial"/>
          <w:b/>
          <w:bCs/>
          <w:color w:val="AF1E2C"/>
          <w:sz w:val="26"/>
          <w:szCs w:val="26"/>
        </w:rPr>
        <w:t>What can you do to improve guidance</w:t>
      </w:r>
      <w:r w:rsidR="00254940" w:rsidRPr="005B447D">
        <w:rPr>
          <w:rFonts w:eastAsia="Times New Roman" w:cs="Arial"/>
          <w:b/>
          <w:bCs/>
          <w:color w:val="AF1E2C"/>
          <w:sz w:val="26"/>
          <w:szCs w:val="26"/>
        </w:rPr>
        <w:t xml:space="preserve"> </w:t>
      </w:r>
      <w:r w:rsidRPr="005B447D">
        <w:rPr>
          <w:rFonts w:eastAsia="Times New Roman" w:cs="Arial"/>
          <w:b/>
          <w:bCs/>
          <w:color w:val="AF1E2C"/>
          <w:sz w:val="26"/>
          <w:szCs w:val="26"/>
        </w:rPr>
        <w:t>compliance?</w:t>
      </w:r>
    </w:p>
    <w:p w14:paraId="10BC3FCD" w14:textId="77777777" w:rsidR="00675502" w:rsidRPr="00675502" w:rsidRDefault="00675502" w:rsidP="00675502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675502">
        <w:rPr>
          <w:rFonts w:eastAsia="Calibri" w:cs="Times New Roman"/>
        </w:rPr>
        <w:t>Promote use of PHE or local antimicrobial / management of infection guidelines by all in practice</w:t>
      </w:r>
    </w:p>
    <w:p w14:paraId="20E849DB" w14:textId="77777777" w:rsidR="00675502" w:rsidRPr="00675502" w:rsidRDefault="00675502" w:rsidP="00675502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675502">
        <w:rPr>
          <w:rFonts w:eastAsia="Calibri" w:cs="Times New Roman"/>
        </w:rPr>
        <w:t>Encourage use of TARGET Treating Your Infection – Respiratory Tract infection (TYI-RTI) leaflet.</w:t>
      </w:r>
    </w:p>
    <w:p w14:paraId="0A661ABF" w14:textId="77777777" w:rsidR="00675502" w:rsidRPr="00675502" w:rsidRDefault="00675502" w:rsidP="00675502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675502">
        <w:rPr>
          <w:rFonts w:eastAsia="Calibri" w:cs="Times New Roman"/>
        </w:rPr>
        <w:t>Share TARGET TYI-RTI leaflet on clinical system.</w:t>
      </w:r>
    </w:p>
    <w:p w14:paraId="0A1CD01B" w14:textId="77777777" w:rsidR="00675502" w:rsidRPr="00675502" w:rsidRDefault="00675502" w:rsidP="00675502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675502">
        <w:rPr>
          <w:rFonts w:eastAsia="Calibri" w:cs="Times New Roman"/>
        </w:rPr>
        <w:t>Encourage consistent message from different staff and when patients re-attend.</w:t>
      </w:r>
    </w:p>
    <w:p w14:paraId="0E685090" w14:textId="77777777" w:rsidR="00675502" w:rsidRPr="00675502" w:rsidRDefault="00675502" w:rsidP="00675502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675502">
        <w:rPr>
          <w:rFonts w:eastAsia="Calibri" w:cs="Times New Roman"/>
        </w:rPr>
        <w:t>Encourage others to preform audit.</w:t>
      </w:r>
    </w:p>
    <w:p w14:paraId="52E752FE" w14:textId="77777777" w:rsidR="00675502" w:rsidRPr="00675502" w:rsidRDefault="00675502" w:rsidP="00675502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675502">
        <w:rPr>
          <w:rFonts w:eastAsia="Calibri" w:cs="Times New Roman"/>
        </w:rPr>
        <w:t xml:space="preserve">Re-audit in 4 months - identify a date when you will repeat the audit. </w:t>
      </w:r>
    </w:p>
    <w:p w14:paraId="0F67BA56" w14:textId="77777777" w:rsidR="00675502" w:rsidRPr="00675502" w:rsidRDefault="00675502" w:rsidP="00675502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675502">
        <w:rPr>
          <w:rFonts w:eastAsia="Calibri" w:cs="Times New Roman"/>
        </w:rPr>
        <w:t xml:space="preserve">Record actions required, especially when compliance with primary care guidance is less than 80%. </w:t>
      </w:r>
    </w:p>
    <w:p w14:paraId="1964237A" w14:textId="77777777" w:rsidR="00675502" w:rsidRPr="00675502" w:rsidRDefault="00675502" w:rsidP="00675502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675502">
        <w:rPr>
          <w:rFonts w:eastAsia="Calibri" w:cs="Times New Roman"/>
        </w:rPr>
        <w:t xml:space="preserve">Make use of TARGET toolkit. </w:t>
      </w:r>
    </w:p>
    <w:p w14:paraId="31B1B592" w14:textId="77777777" w:rsidR="00675502" w:rsidRPr="00675502" w:rsidRDefault="00675502" w:rsidP="00675502">
      <w:pPr>
        <w:numPr>
          <w:ilvl w:val="0"/>
          <w:numId w:val="14"/>
        </w:numPr>
        <w:spacing w:after="0" w:line="360" w:lineRule="auto"/>
        <w:contextualSpacing/>
        <w:rPr>
          <w:rFonts w:eastAsia="Calibri" w:cs="Times New Roman"/>
        </w:rPr>
      </w:pPr>
      <w:r w:rsidRPr="00675502">
        <w:rPr>
          <w:rFonts w:eastAsia="Calibri" w:cs="Times New Roman"/>
        </w:rPr>
        <w:t xml:space="preserve">Consider developing a target for antibiotic prescribing rate. </w:t>
      </w:r>
    </w:p>
    <w:p w14:paraId="39D782B3" w14:textId="0EE5097F" w:rsidR="00807210" w:rsidRPr="00C84C71" w:rsidRDefault="00807210" w:rsidP="00C84C71">
      <w:pPr>
        <w:spacing w:line="360" w:lineRule="auto"/>
        <w:ind w:left="360"/>
        <w:rPr>
          <w:rFonts w:cs="Arial"/>
          <w:sz w:val="24"/>
          <w:szCs w:val="24"/>
        </w:rPr>
      </w:pPr>
    </w:p>
    <w:p w14:paraId="378187B1" w14:textId="77777777" w:rsidR="006662FF" w:rsidRDefault="006662FF">
      <w:pPr>
        <w:rPr>
          <w:rFonts w:cs="Arial"/>
          <w:b/>
          <w:color w:val="17365D" w:themeColor="text2" w:themeShade="BF"/>
          <w:sz w:val="26"/>
          <w:szCs w:val="26"/>
        </w:rPr>
      </w:pPr>
      <w:r>
        <w:rPr>
          <w:rFonts w:cs="Arial"/>
          <w:b/>
          <w:color w:val="17365D" w:themeColor="text2" w:themeShade="BF"/>
          <w:sz w:val="26"/>
          <w:szCs w:val="26"/>
        </w:rPr>
        <w:br w:type="page"/>
      </w:r>
    </w:p>
    <w:p w14:paraId="730D3E95" w14:textId="77777777" w:rsidR="00254940" w:rsidRPr="005B447D" w:rsidRDefault="00254940" w:rsidP="00254940">
      <w:pPr>
        <w:keepNext/>
        <w:keepLines/>
        <w:spacing w:afterLines="80" w:after="192"/>
        <w:contextualSpacing/>
        <w:outlineLvl w:val="0"/>
        <w:rPr>
          <w:rFonts w:eastAsiaTheme="majorEastAsia" w:cs="Arial"/>
          <w:b/>
          <w:bCs/>
          <w:color w:val="AF1E2C"/>
          <w:sz w:val="26"/>
          <w:szCs w:val="26"/>
        </w:rPr>
      </w:pPr>
      <w:r w:rsidRPr="005B447D">
        <w:rPr>
          <w:rFonts w:eastAsiaTheme="majorEastAsia" w:cs="Arial"/>
          <w:b/>
          <w:bCs/>
          <w:color w:val="AF1E2C"/>
          <w:sz w:val="26"/>
          <w:szCs w:val="26"/>
        </w:rPr>
        <w:lastRenderedPageBreak/>
        <w:t>References</w:t>
      </w:r>
    </w:p>
    <w:p w14:paraId="5462EF44" w14:textId="77777777" w:rsidR="00570BEE" w:rsidRPr="00254940" w:rsidRDefault="00570BEE" w:rsidP="00570BEE">
      <w:pPr>
        <w:numPr>
          <w:ilvl w:val="0"/>
          <w:numId w:val="19"/>
        </w:numPr>
        <w:spacing w:afterLines="80" w:after="192"/>
        <w:contextualSpacing/>
        <w:rPr>
          <w:rFonts w:cs="Arial"/>
          <w:color w:val="000000" w:themeColor="text1"/>
          <w:sz w:val="20"/>
          <w:szCs w:val="20"/>
        </w:rPr>
      </w:pPr>
      <w:proofErr w:type="spellStart"/>
      <w:r w:rsidRPr="00254940">
        <w:rPr>
          <w:rFonts w:cs="Arial"/>
          <w:color w:val="000000" w:themeColor="text1"/>
          <w:sz w:val="20"/>
          <w:szCs w:val="20"/>
        </w:rPr>
        <w:t>Fokkens</w:t>
      </w:r>
      <w:proofErr w:type="spellEnd"/>
      <w:r w:rsidRPr="00254940">
        <w:rPr>
          <w:rFonts w:cs="Arial"/>
          <w:color w:val="000000" w:themeColor="text1"/>
          <w:sz w:val="20"/>
          <w:szCs w:val="20"/>
        </w:rPr>
        <w:t xml:space="preserve"> WJ, </w:t>
      </w:r>
      <w:proofErr w:type="spellStart"/>
      <w:r w:rsidRPr="00254940">
        <w:rPr>
          <w:rFonts w:cs="Arial"/>
          <w:color w:val="000000" w:themeColor="text1"/>
          <w:sz w:val="20"/>
          <w:szCs w:val="20"/>
        </w:rPr>
        <w:t>Hoffmans</w:t>
      </w:r>
      <w:proofErr w:type="spellEnd"/>
      <w:r w:rsidRPr="00254940">
        <w:rPr>
          <w:rFonts w:cs="Arial"/>
          <w:color w:val="000000" w:themeColor="text1"/>
          <w:sz w:val="20"/>
          <w:szCs w:val="20"/>
        </w:rPr>
        <w:t xml:space="preserve"> R, Thomas M. Avoid prescribing antibiotics in acute rhinosinusitis. BMJ. 2014;</w:t>
      </w:r>
      <w:proofErr w:type="gramStart"/>
      <w:r w:rsidRPr="00254940">
        <w:rPr>
          <w:rFonts w:cs="Arial"/>
          <w:color w:val="000000" w:themeColor="text1"/>
          <w:sz w:val="20"/>
          <w:szCs w:val="20"/>
        </w:rPr>
        <w:t>349:g</w:t>
      </w:r>
      <w:proofErr w:type="gramEnd"/>
      <w:r w:rsidRPr="00254940">
        <w:rPr>
          <w:rFonts w:cs="Arial"/>
          <w:color w:val="000000" w:themeColor="text1"/>
          <w:sz w:val="20"/>
          <w:szCs w:val="20"/>
        </w:rPr>
        <w:t>5703</w:t>
      </w:r>
    </w:p>
    <w:p w14:paraId="5E26CA25" w14:textId="18614AAC" w:rsidR="00254940" w:rsidRPr="00254940" w:rsidRDefault="00A26E44" w:rsidP="00254940">
      <w:pPr>
        <w:numPr>
          <w:ilvl w:val="0"/>
          <w:numId w:val="19"/>
        </w:numPr>
        <w:spacing w:afterLines="80" w:after="192"/>
        <w:contextualSpacing/>
        <w:rPr>
          <w:rFonts w:cs="Arial"/>
          <w:color w:val="000000" w:themeColor="text1"/>
          <w:sz w:val="20"/>
          <w:szCs w:val="20"/>
        </w:rPr>
      </w:pPr>
      <w:r w:rsidRPr="00A26E44">
        <w:rPr>
          <w:rFonts w:cs="Arial"/>
          <w:color w:val="000000" w:themeColor="text1"/>
          <w:sz w:val="20"/>
          <w:szCs w:val="20"/>
        </w:rPr>
        <w:t xml:space="preserve">National Institute for Health and Care Excellence. 2013. Clinical Knowledge Summaries - Sinusitis. Available at: </w:t>
      </w:r>
      <w:hyperlink r:id="rId16" w:anchor="!topicsummary" w:history="1">
        <w:r w:rsidRPr="00A23B4B">
          <w:rPr>
            <w:rStyle w:val="Hyperlink"/>
            <w:rFonts w:ascii="Arial" w:hAnsi="Arial" w:cs="Arial"/>
            <w:sz w:val="20"/>
            <w:szCs w:val="20"/>
          </w:rPr>
          <w:t>http://cks.nice.org.uk/sinusitis#!topicsummary</w:t>
        </w:r>
      </w:hyperlink>
      <w:r>
        <w:rPr>
          <w:rFonts w:cs="Arial"/>
          <w:color w:val="000000" w:themeColor="text1"/>
          <w:sz w:val="20"/>
          <w:szCs w:val="20"/>
        </w:rPr>
        <w:t xml:space="preserve"> </w:t>
      </w:r>
      <w:r w:rsidRPr="00A26E44">
        <w:rPr>
          <w:rFonts w:cs="Arial"/>
          <w:color w:val="000000" w:themeColor="text1"/>
          <w:sz w:val="20"/>
          <w:szCs w:val="20"/>
        </w:rPr>
        <w:t>[Accessed 20 July 2017].</w:t>
      </w:r>
    </w:p>
    <w:p w14:paraId="748B4219" w14:textId="77777777" w:rsidR="00254940" w:rsidRPr="00254940" w:rsidRDefault="00254940" w:rsidP="00254940">
      <w:pPr>
        <w:numPr>
          <w:ilvl w:val="0"/>
          <w:numId w:val="19"/>
        </w:numPr>
        <w:spacing w:afterLines="80" w:after="192"/>
        <w:contextualSpacing/>
        <w:rPr>
          <w:rFonts w:cs="Arial"/>
          <w:color w:val="000000" w:themeColor="text1"/>
          <w:sz w:val="20"/>
          <w:szCs w:val="20"/>
        </w:rPr>
      </w:pPr>
      <w:proofErr w:type="spellStart"/>
      <w:r w:rsidRPr="00254940">
        <w:rPr>
          <w:rFonts w:cs="Arial"/>
          <w:color w:val="000000" w:themeColor="text1"/>
          <w:sz w:val="20"/>
          <w:szCs w:val="20"/>
        </w:rPr>
        <w:t>Fokkens</w:t>
      </w:r>
      <w:proofErr w:type="spellEnd"/>
      <w:r w:rsidRPr="00254940">
        <w:rPr>
          <w:rFonts w:cs="Arial"/>
          <w:color w:val="000000" w:themeColor="text1"/>
          <w:sz w:val="20"/>
          <w:szCs w:val="20"/>
        </w:rPr>
        <w:t xml:space="preserve"> WJ, Lund VJ, </w:t>
      </w:r>
      <w:proofErr w:type="spellStart"/>
      <w:r w:rsidRPr="00254940">
        <w:rPr>
          <w:rFonts w:cs="Arial"/>
          <w:color w:val="000000" w:themeColor="text1"/>
          <w:sz w:val="20"/>
          <w:szCs w:val="20"/>
        </w:rPr>
        <w:t>Mullol</w:t>
      </w:r>
      <w:proofErr w:type="spellEnd"/>
      <w:r w:rsidRPr="00254940">
        <w:rPr>
          <w:rFonts w:cs="Arial"/>
          <w:color w:val="000000" w:themeColor="text1"/>
          <w:sz w:val="20"/>
          <w:szCs w:val="20"/>
        </w:rPr>
        <w:t xml:space="preserve"> J, </w:t>
      </w:r>
      <w:proofErr w:type="spellStart"/>
      <w:r w:rsidRPr="00254940">
        <w:rPr>
          <w:rFonts w:cs="Arial"/>
          <w:color w:val="000000" w:themeColor="text1"/>
          <w:sz w:val="20"/>
          <w:szCs w:val="20"/>
        </w:rPr>
        <w:t>Bachert</w:t>
      </w:r>
      <w:proofErr w:type="spellEnd"/>
      <w:r w:rsidRPr="00254940">
        <w:rPr>
          <w:rFonts w:cs="Arial"/>
          <w:color w:val="000000" w:themeColor="text1"/>
          <w:sz w:val="20"/>
          <w:szCs w:val="20"/>
        </w:rPr>
        <w:t xml:space="preserve"> C, </w:t>
      </w:r>
      <w:proofErr w:type="spellStart"/>
      <w:r w:rsidRPr="00254940">
        <w:rPr>
          <w:rFonts w:cs="Arial"/>
          <w:color w:val="000000" w:themeColor="text1"/>
          <w:sz w:val="20"/>
          <w:szCs w:val="20"/>
        </w:rPr>
        <w:t>Alobid</w:t>
      </w:r>
      <w:proofErr w:type="spellEnd"/>
      <w:r w:rsidRPr="00254940">
        <w:rPr>
          <w:rFonts w:cs="Arial"/>
          <w:color w:val="000000" w:themeColor="text1"/>
          <w:sz w:val="20"/>
          <w:szCs w:val="20"/>
        </w:rPr>
        <w:t xml:space="preserve"> I, </w:t>
      </w:r>
      <w:proofErr w:type="spellStart"/>
      <w:r w:rsidRPr="00254940">
        <w:rPr>
          <w:rFonts w:cs="Arial"/>
          <w:color w:val="000000" w:themeColor="text1"/>
          <w:sz w:val="20"/>
          <w:szCs w:val="20"/>
        </w:rPr>
        <w:t>Baroody</w:t>
      </w:r>
      <w:proofErr w:type="spellEnd"/>
      <w:r w:rsidRPr="00254940">
        <w:rPr>
          <w:rFonts w:cs="Arial"/>
          <w:color w:val="000000" w:themeColor="text1"/>
          <w:sz w:val="20"/>
          <w:szCs w:val="20"/>
        </w:rPr>
        <w:t xml:space="preserve"> F, et al. European Position Paper</w:t>
      </w:r>
      <w:r w:rsidRPr="00254940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254940">
        <w:rPr>
          <w:rFonts w:cs="Arial"/>
          <w:color w:val="000000" w:themeColor="text1"/>
          <w:sz w:val="20"/>
          <w:szCs w:val="20"/>
        </w:rPr>
        <w:t>on</w:t>
      </w:r>
      <w:r w:rsidRPr="00254940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254940">
        <w:rPr>
          <w:rFonts w:cs="Arial"/>
          <w:color w:val="000000" w:themeColor="text1"/>
          <w:sz w:val="20"/>
          <w:szCs w:val="20"/>
        </w:rPr>
        <w:t>Rhinosinusitis and Nasal Polyps 2012. Rhinology 2012:3:1-298</w:t>
      </w:r>
    </w:p>
    <w:p w14:paraId="789B59AA" w14:textId="2827FD94" w:rsidR="00254940" w:rsidRPr="00254940" w:rsidRDefault="00A26E44" w:rsidP="00A26E44">
      <w:pPr>
        <w:numPr>
          <w:ilvl w:val="0"/>
          <w:numId w:val="19"/>
        </w:numPr>
        <w:spacing w:afterLines="80" w:after="192"/>
        <w:contextualSpacing/>
        <w:rPr>
          <w:rFonts w:cs="Arial"/>
          <w:color w:val="000000" w:themeColor="text1"/>
          <w:sz w:val="20"/>
          <w:szCs w:val="20"/>
        </w:rPr>
      </w:pPr>
      <w:r w:rsidRPr="00A26E44">
        <w:rPr>
          <w:rFonts w:cs="Arial"/>
          <w:color w:val="000000" w:themeColor="text1"/>
          <w:sz w:val="20"/>
          <w:szCs w:val="20"/>
        </w:rPr>
        <w:t xml:space="preserve">National Institute for Health and Care Excellence. 2008. </w:t>
      </w:r>
      <w:r>
        <w:rPr>
          <w:rFonts w:cs="Arial"/>
          <w:color w:val="000000" w:themeColor="text1"/>
          <w:sz w:val="20"/>
          <w:szCs w:val="20"/>
        </w:rPr>
        <w:t>NICE Guide</w:t>
      </w:r>
      <w:r w:rsidRPr="00A26E44">
        <w:rPr>
          <w:rFonts w:cs="Arial"/>
          <w:color w:val="000000" w:themeColor="text1"/>
          <w:sz w:val="20"/>
          <w:szCs w:val="20"/>
        </w:rPr>
        <w:t>line NG69: Respiratory tract infections (</w:t>
      </w:r>
      <w:proofErr w:type="spellStart"/>
      <w:r w:rsidRPr="00A26E44">
        <w:rPr>
          <w:rFonts w:cs="Arial"/>
          <w:color w:val="000000" w:themeColor="text1"/>
          <w:sz w:val="20"/>
          <w:szCs w:val="20"/>
        </w:rPr>
        <w:t>selflimiting</w:t>
      </w:r>
      <w:proofErr w:type="spellEnd"/>
      <w:r w:rsidRPr="00A26E44">
        <w:rPr>
          <w:rFonts w:cs="Arial"/>
          <w:color w:val="000000" w:themeColor="text1"/>
          <w:sz w:val="20"/>
          <w:szCs w:val="20"/>
        </w:rPr>
        <w:t xml:space="preserve">): Prescribing antibiotics. Available at: </w:t>
      </w:r>
      <w:hyperlink r:id="rId17" w:history="1">
        <w:r w:rsidRPr="00A23B4B">
          <w:rPr>
            <w:rStyle w:val="Hyperlink"/>
            <w:rFonts w:ascii="Arial" w:hAnsi="Arial" w:cs="Arial"/>
            <w:sz w:val="20"/>
            <w:szCs w:val="20"/>
          </w:rPr>
          <w:t>https://www.nice.org.uk/guidance/cg69/evidence/full-guideline-pdf-196853293</w:t>
        </w:r>
      </w:hyperlink>
      <w:r>
        <w:rPr>
          <w:rFonts w:cs="Arial"/>
          <w:color w:val="000000" w:themeColor="text1"/>
          <w:sz w:val="20"/>
          <w:szCs w:val="20"/>
        </w:rPr>
        <w:t xml:space="preserve"> </w:t>
      </w:r>
      <w:r w:rsidR="00254940" w:rsidRPr="00254940">
        <w:rPr>
          <w:rFonts w:cs="Arial"/>
          <w:color w:val="000000" w:themeColor="text1"/>
          <w:sz w:val="20"/>
          <w:szCs w:val="20"/>
        </w:rPr>
        <w:t xml:space="preserve">[Accessed </w:t>
      </w:r>
      <w:r w:rsidRPr="00A26E44">
        <w:rPr>
          <w:rFonts w:cs="Arial"/>
          <w:color w:val="000000" w:themeColor="text1"/>
          <w:sz w:val="20"/>
          <w:szCs w:val="20"/>
        </w:rPr>
        <w:t>20 July 2017</w:t>
      </w:r>
      <w:r w:rsidR="00254940" w:rsidRPr="00254940">
        <w:rPr>
          <w:rFonts w:cs="Arial"/>
          <w:color w:val="000000" w:themeColor="text1"/>
          <w:sz w:val="20"/>
          <w:szCs w:val="20"/>
        </w:rPr>
        <w:t>].</w:t>
      </w:r>
    </w:p>
    <w:p w14:paraId="7ACBC524" w14:textId="41D149F6" w:rsidR="00254940" w:rsidRDefault="00A26E44" w:rsidP="00A26E44">
      <w:pPr>
        <w:numPr>
          <w:ilvl w:val="0"/>
          <w:numId w:val="19"/>
        </w:numPr>
        <w:spacing w:afterLines="80" w:after="192"/>
        <w:contextualSpacing/>
        <w:rPr>
          <w:rFonts w:cs="Arial"/>
          <w:color w:val="000000" w:themeColor="text1"/>
          <w:sz w:val="20"/>
          <w:szCs w:val="20"/>
        </w:rPr>
      </w:pPr>
      <w:r w:rsidRPr="00A26E44">
        <w:rPr>
          <w:rFonts w:cs="Arial"/>
          <w:color w:val="000000" w:themeColor="text1"/>
          <w:sz w:val="20"/>
          <w:szCs w:val="20"/>
        </w:rPr>
        <w:t>Public Health England. 201</w:t>
      </w:r>
      <w:r>
        <w:rPr>
          <w:rFonts w:cs="Arial"/>
          <w:color w:val="000000" w:themeColor="text1"/>
          <w:sz w:val="20"/>
          <w:szCs w:val="20"/>
        </w:rPr>
        <w:t>7</w:t>
      </w:r>
      <w:r w:rsidRPr="00A26E44">
        <w:rPr>
          <w:rFonts w:cs="Arial"/>
          <w:color w:val="000000" w:themeColor="text1"/>
          <w:sz w:val="20"/>
          <w:szCs w:val="20"/>
        </w:rPr>
        <w:t xml:space="preserve">. Management of infection guidance for primary care for consultation and local adaptation. [ONLINE] Available at: </w:t>
      </w:r>
      <w:hyperlink r:id="rId18" w:history="1">
        <w:r w:rsidRPr="00A23B4B">
          <w:rPr>
            <w:rStyle w:val="Hyperlink"/>
            <w:rFonts w:ascii="Arial" w:hAnsi="Arial" w:cs="Arial"/>
            <w:sz w:val="20"/>
            <w:szCs w:val="20"/>
          </w:rPr>
          <w:t>https://www.gov.uk/government/publications/managing-common-infections-guidance-for-primary-care</w:t>
        </w:r>
      </w:hyperlink>
      <w:r>
        <w:rPr>
          <w:rFonts w:cs="Arial"/>
          <w:color w:val="000000" w:themeColor="text1"/>
          <w:sz w:val="20"/>
          <w:szCs w:val="20"/>
        </w:rPr>
        <w:t xml:space="preserve"> </w:t>
      </w:r>
      <w:r w:rsidRPr="00A26E44">
        <w:rPr>
          <w:rFonts w:cs="Arial"/>
          <w:color w:val="000000" w:themeColor="text1"/>
          <w:sz w:val="20"/>
          <w:szCs w:val="20"/>
        </w:rPr>
        <w:t>[Accessed 20 July 2017].</w:t>
      </w:r>
    </w:p>
    <w:p w14:paraId="7ADE3CC1" w14:textId="1BA581CD" w:rsidR="00A26E44" w:rsidRPr="00A26E44" w:rsidRDefault="00A26E44" w:rsidP="00A26E44">
      <w:pPr>
        <w:numPr>
          <w:ilvl w:val="0"/>
          <w:numId w:val="19"/>
        </w:numPr>
        <w:spacing w:afterLines="80" w:after="192"/>
        <w:contextualSpacing/>
        <w:rPr>
          <w:rFonts w:cs="Arial"/>
          <w:color w:val="000000" w:themeColor="text1"/>
          <w:sz w:val="20"/>
          <w:szCs w:val="20"/>
        </w:rPr>
      </w:pPr>
      <w:r w:rsidRPr="00A26E44">
        <w:rPr>
          <w:rFonts w:cs="Arial"/>
          <w:color w:val="000000" w:themeColor="text1"/>
          <w:sz w:val="20"/>
          <w:szCs w:val="20"/>
        </w:rPr>
        <w:t>National Institute for Health and Care Excellence</w:t>
      </w:r>
      <w:r>
        <w:rPr>
          <w:rFonts w:cs="Arial"/>
          <w:color w:val="000000" w:themeColor="text1"/>
          <w:sz w:val="20"/>
          <w:szCs w:val="20"/>
        </w:rPr>
        <w:t xml:space="preserve">. 2017. </w:t>
      </w:r>
      <w:r w:rsidRPr="00A26E44">
        <w:rPr>
          <w:rFonts w:cs="Arial"/>
          <w:bCs/>
          <w:color w:val="000000" w:themeColor="text1"/>
          <w:sz w:val="20"/>
          <w:szCs w:val="20"/>
        </w:rPr>
        <w:t xml:space="preserve">Sinusitis (acute): antimicrobial prescribing. </w:t>
      </w:r>
      <w:hyperlink r:id="rId19" w:history="1">
        <w:r w:rsidRPr="00A26E44">
          <w:rPr>
            <w:rStyle w:val="Hyperlink"/>
            <w:rFonts w:ascii="Arial" w:hAnsi="Arial" w:cs="Arial"/>
            <w:sz w:val="20"/>
            <w:szCs w:val="20"/>
          </w:rPr>
          <w:t>https://www.nice.org.uk/guidance/gid-apg10002/documents/consultation-document</w:t>
        </w:r>
      </w:hyperlink>
      <w:r w:rsidRPr="00A26E44">
        <w:rPr>
          <w:rFonts w:cs="Arial"/>
          <w:color w:val="000000" w:themeColor="text1"/>
          <w:sz w:val="20"/>
          <w:szCs w:val="20"/>
        </w:rPr>
        <w:t xml:space="preserve"> </w:t>
      </w:r>
      <w:r w:rsidRPr="00254940">
        <w:rPr>
          <w:rFonts w:cs="Arial"/>
          <w:color w:val="000000" w:themeColor="text1"/>
          <w:sz w:val="20"/>
          <w:szCs w:val="20"/>
        </w:rPr>
        <w:t xml:space="preserve">[Accessed </w:t>
      </w:r>
      <w:r w:rsidRPr="00A26E44">
        <w:rPr>
          <w:rFonts w:cs="Arial"/>
          <w:color w:val="000000" w:themeColor="text1"/>
          <w:sz w:val="20"/>
          <w:szCs w:val="20"/>
        </w:rPr>
        <w:t>20 July 2017</w:t>
      </w:r>
      <w:r w:rsidRPr="00254940">
        <w:rPr>
          <w:rFonts w:cs="Arial"/>
          <w:color w:val="000000" w:themeColor="text1"/>
          <w:sz w:val="20"/>
          <w:szCs w:val="20"/>
        </w:rPr>
        <w:t>].</w:t>
      </w:r>
    </w:p>
    <w:p w14:paraId="307CB949" w14:textId="77777777" w:rsidR="00254940" w:rsidRDefault="00254940" w:rsidP="00254940">
      <w:pPr>
        <w:spacing w:afterLines="80" w:after="192"/>
        <w:contextualSpacing/>
        <w:rPr>
          <w:rFonts w:cs="Arial"/>
          <w:b/>
          <w:u w:val="single"/>
        </w:rPr>
      </w:pPr>
    </w:p>
    <w:p w14:paraId="01277A6D" w14:textId="77777777" w:rsidR="00254940" w:rsidRPr="00254940" w:rsidRDefault="00254940" w:rsidP="00254940">
      <w:pPr>
        <w:spacing w:afterLines="80" w:after="192"/>
        <w:contextualSpacing/>
        <w:rPr>
          <w:rFonts w:cs="Arial"/>
          <w:b/>
          <w:u w:val="single"/>
        </w:rPr>
      </w:pPr>
      <w:r w:rsidRPr="00254940">
        <w:rPr>
          <w:rFonts w:cs="Arial"/>
          <w:b/>
          <w:u w:val="single"/>
        </w:rPr>
        <w:t>Appendix 1</w:t>
      </w:r>
    </w:p>
    <w:p w14:paraId="62904BC9" w14:textId="77777777" w:rsidR="00254940" w:rsidRPr="00254940" w:rsidRDefault="00254940" w:rsidP="00254940">
      <w:pPr>
        <w:keepNext/>
        <w:keepLines/>
        <w:spacing w:before="200" w:after="0"/>
        <w:contextualSpacing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5B447D">
        <w:rPr>
          <w:rFonts w:asciiTheme="majorHAnsi" w:eastAsiaTheme="majorEastAsia" w:hAnsiTheme="majorHAnsi" w:cstheme="majorBidi"/>
          <w:b/>
          <w:bCs/>
          <w:i/>
          <w:iCs/>
          <w:color w:val="AF1E2C"/>
        </w:rPr>
        <w:t>A) Antibiotic use</w:t>
      </w:r>
      <w:r w:rsidRPr="0025494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 xml:space="preserve">: </w:t>
      </w:r>
    </w:p>
    <w:p w14:paraId="54B853F5" w14:textId="48A09CE5" w:rsidR="00254940" w:rsidRPr="00254940" w:rsidRDefault="00254940" w:rsidP="00254940">
      <w:pPr>
        <w:spacing w:afterLines="80" w:after="192"/>
        <w:contextualSpacing/>
        <w:rPr>
          <w:rFonts w:cs="Arial"/>
        </w:rPr>
      </w:pPr>
      <w:r w:rsidRPr="00254940">
        <w:rPr>
          <w:rFonts w:cs="Arial"/>
        </w:rPr>
        <w:t>Antibiotics make very little difference to the natural course of acute rhinosinusitis. Untreated ARS usually lasts for 12-15 days and antibiotics reduce the duration by an average of 24 hours and 1</w:t>
      </w:r>
      <w:r w:rsidR="00A26E44">
        <w:rPr>
          <w:rFonts w:cs="Arial"/>
        </w:rPr>
        <w:t>5</w:t>
      </w:r>
      <w:r w:rsidRPr="00254940">
        <w:rPr>
          <w:rFonts w:cs="Arial"/>
        </w:rPr>
        <w:t xml:space="preserve"> patients require treatment for one patient to get be</w:t>
      </w:r>
      <w:r w:rsidR="00A26E44">
        <w:rPr>
          <w:rFonts w:cs="Arial"/>
        </w:rPr>
        <w:t>tter significantly more quickly.</w:t>
      </w:r>
    </w:p>
    <w:p w14:paraId="3E79BF90" w14:textId="77777777" w:rsidR="00254940" w:rsidRPr="00254940" w:rsidRDefault="00254940" w:rsidP="00254940">
      <w:pPr>
        <w:spacing w:afterLines="80" w:after="192"/>
        <w:contextualSpacing/>
        <w:rPr>
          <w:rFonts w:cs="Arial"/>
        </w:rPr>
      </w:pPr>
      <w:r w:rsidRPr="00254940">
        <w:rPr>
          <w:rFonts w:cs="Arial"/>
        </w:rPr>
        <w:t xml:space="preserve">NICE CG69 advises antibiotics are not required in </w:t>
      </w:r>
      <w:proofErr w:type="gramStart"/>
      <w:r w:rsidRPr="00254940">
        <w:rPr>
          <w:rFonts w:cs="Arial"/>
        </w:rPr>
        <w:t>the majority of</w:t>
      </w:r>
      <w:proofErr w:type="gramEnd"/>
      <w:r w:rsidRPr="00254940">
        <w:rPr>
          <w:rFonts w:cs="Arial"/>
        </w:rPr>
        <w:t xml:space="preserve"> patients presenting to primary care with acute rhinosinusitis. NICE recommends patients (both adults and children) in the following situations should be offered an immediate prescription and/or further appropriate investigation and management:</w:t>
      </w:r>
    </w:p>
    <w:p w14:paraId="5FB6BDD2" w14:textId="77777777" w:rsidR="00254940" w:rsidRPr="00254940" w:rsidRDefault="00254940" w:rsidP="00254940">
      <w:pPr>
        <w:numPr>
          <w:ilvl w:val="0"/>
          <w:numId w:val="20"/>
        </w:numPr>
        <w:tabs>
          <w:tab w:val="num" w:pos="426"/>
        </w:tabs>
        <w:spacing w:after="0"/>
        <w:ind w:left="426" w:hanging="284"/>
        <w:contextualSpacing/>
        <w:rPr>
          <w:rFonts w:cs="Arial"/>
          <w:lang w:val="en-US"/>
        </w:rPr>
      </w:pPr>
      <w:r w:rsidRPr="00254940">
        <w:rPr>
          <w:rFonts w:cs="Arial"/>
          <w:lang w:val="en-US"/>
        </w:rPr>
        <w:t>if the patient is systemically very unwell</w:t>
      </w:r>
    </w:p>
    <w:p w14:paraId="009CF836" w14:textId="77777777" w:rsidR="00254940" w:rsidRPr="00254940" w:rsidRDefault="00254940" w:rsidP="00254940">
      <w:pPr>
        <w:numPr>
          <w:ilvl w:val="0"/>
          <w:numId w:val="20"/>
        </w:numPr>
        <w:tabs>
          <w:tab w:val="num" w:pos="426"/>
        </w:tabs>
        <w:spacing w:after="0"/>
        <w:ind w:left="426" w:hanging="284"/>
        <w:contextualSpacing/>
        <w:rPr>
          <w:rFonts w:cs="Arial"/>
          <w:lang w:val="en-US"/>
        </w:rPr>
      </w:pPr>
      <w:r w:rsidRPr="00254940">
        <w:rPr>
          <w:rFonts w:cs="Arial"/>
          <w:lang w:val="en-US"/>
        </w:rPr>
        <w:t>if the patient has symptoms and signs of suggestive of serious illness and/or complications</w:t>
      </w:r>
    </w:p>
    <w:p w14:paraId="20EAD7B5" w14:textId="77777777" w:rsidR="00254940" w:rsidRPr="00254940" w:rsidRDefault="00254940" w:rsidP="00254940">
      <w:pPr>
        <w:numPr>
          <w:ilvl w:val="0"/>
          <w:numId w:val="20"/>
        </w:numPr>
        <w:tabs>
          <w:tab w:val="num" w:pos="426"/>
        </w:tabs>
        <w:spacing w:after="0"/>
        <w:ind w:left="426" w:hanging="284"/>
        <w:contextualSpacing/>
        <w:rPr>
          <w:rFonts w:cs="Arial"/>
          <w:lang w:val="en-US"/>
        </w:rPr>
      </w:pPr>
      <w:r w:rsidRPr="00254940">
        <w:rPr>
          <w:rFonts w:cs="Arial"/>
          <w:lang w:val="en-US"/>
        </w:rPr>
        <w:t>if the patient is at high risk of serious complications because of pre-existing comorbidity</w:t>
      </w:r>
    </w:p>
    <w:p w14:paraId="6C61F50C" w14:textId="77777777" w:rsidR="00254940" w:rsidRPr="00254940" w:rsidRDefault="00254940" w:rsidP="00254940">
      <w:pPr>
        <w:autoSpaceDE w:val="0"/>
        <w:autoSpaceDN w:val="0"/>
        <w:adjustRightInd w:val="0"/>
        <w:spacing w:afterLines="80" w:after="192"/>
        <w:contextualSpacing/>
        <w:rPr>
          <w:rFonts w:cs="Arial"/>
        </w:rPr>
      </w:pPr>
      <w:r w:rsidRPr="00254940">
        <w:rPr>
          <w:rFonts w:cs="Arial"/>
          <w:color w:val="000000" w:themeColor="text1"/>
        </w:rPr>
        <w:t xml:space="preserve">EPOS recommends that antibiotics should be reserved for use in patient whom the probability of bacterial disease is substantial. Acute bacterial rhinosinusitis should </w:t>
      </w:r>
      <w:r w:rsidRPr="00254940">
        <w:rPr>
          <w:rFonts w:cs="Arial"/>
        </w:rPr>
        <w:t xml:space="preserve">be suspected when </w:t>
      </w:r>
      <w:r w:rsidRPr="00254940">
        <w:rPr>
          <w:rFonts w:cs="Arial"/>
          <w:u w:val="single"/>
        </w:rPr>
        <w:t>at least three</w:t>
      </w:r>
      <w:r w:rsidRPr="00254940">
        <w:rPr>
          <w:rFonts w:cs="Arial"/>
        </w:rPr>
        <w:t xml:space="preserve"> of the following features are present</w:t>
      </w:r>
      <w:r w:rsidRPr="00254940">
        <w:rPr>
          <w:rFonts w:cs="Arial"/>
          <w:vertAlign w:val="superscript"/>
        </w:rPr>
        <w:t>1</w:t>
      </w:r>
      <w:r w:rsidRPr="00254940">
        <w:rPr>
          <w:rFonts w:cs="Arial"/>
        </w:rPr>
        <w:t>.</w:t>
      </w:r>
    </w:p>
    <w:p w14:paraId="0502BED8" w14:textId="77777777" w:rsidR="00254940" w:rsidRPr="00254940" w:rsidRDefault="00254940" w:rsidP="00254940">
      <w:pPr>
        <w:numPr>
          <w:ilvl w:val="0"/>
          <w:numId w:val="15"/>
        </w:numPr>
        <w:spacing w:after="0"/>
        <w:ind w:left="426" w:hanging="283"/>
        <w:contextualSpacing/>
        <w:rPr>
          <w:rFonts w:cs="Arial"/>
        </w:rPr>
      </w:pPr>
      <w:r w:rsidRPr="00254940">
        <w:rPr>
          <w:rFonts w:cs="Arial"/>
        </w:rPr>
        <w:t xml:space="preserve">discoloured or purulent discharge (with unilateral predominance). </w:t>
      </w:r>
    </w:p>
    <w:p w14:paraId="5560085C" w14:textId="77777777" w:rsidR="00254940" w:rsidRPr="00254940" w:rsidRDefault="00254940" w:rsidP="00254940">
      <w:pPr>
        <w:numPr>
          <w:ilvl w:val="0"/>
          <w:numId w:val="15"/>
        </w:numPr>
        <w:spacing w:after="0"/>
        <w:ind w:left="426" w:hanging="283"/>
        <w:contextualSpacing/>
        <w:rPr>
          <w:rFonts w:cs="Arial"/>
        </w:rPr>
      </w:pPr>
      <w:r w:rsidRPr="00254940">
        <w:rPr>
          <w:rFonts w:cs="Arial"/>
        </w:rPr>
        <w:t>severe local pain (with unilateral predominance).</w:t>
      </w:r>
    </w:p>
    <w:p w14:paraId="602D8B7C" w14:textId="77777777" w:rsidR="00254940" w:rsidRPr="00254940" w:rsidRDefault="00254940" w:rsidP="00254940">
      <w:pPr>
        <w:numPr>
          <w:ilvl w:val="0"/>
          <w:numId w:val="15"/>
        </w:numPr>
        <w:spacing w:after="0"/>
        <w:ind w:left="426" w:hanging="283"/>
        <w:contextualSpacing/>
        <w:rPr>
          <w:rFonts w:cs="Arial"/>
        </w:rPr>
      </w:pPr>
      <w:r w:rsidRPr="00254940">
        <w:rPr>
          <w:rFonts w:cs="Arial"/>
        </w:rPr>
        <w:t>a fever of greater than 38</w:t>
      </w:r>
      <w:r w:rsidRPr="00254940">
        <w:rPr>
          <w:rFonts w:cs="Arial"/>
          <w:vertAlign w:val="superscript"/>
        </w:rPr>
        <w:t>o</w:t>
      </w:r>
      <w:r w:rsidRPr="00254940">
        <w:rPr>
          <w:rFonts w:cs="Arial"/>
        </w:rPr>
        <w:t>C.</w:t>
      </w:r>
    </w:p>
    <w:p w14:paraId="4E4CFAA0" w14:textId="77777777" w:rsidR="00254940" w:rsidRPr="00254940" w:rsidRDefault="00254940" w:rsidP="00254940">
      <w:pPr>
        <w:numPr>
          <w:ilvl w:val="0"/>
          <w:numId w:val="15"/>
        </w:numPr>
        <w:spacing w:after="0"/>
        <w:ind w:left="426" w:hanging="283"/>
        <w:contextualSpacing/>
        <w:rPr>
          <w:rFonts w:cs="Arial"/>
        </w:rPr>
      </w:pPr>
      <w:r w:rsidRPr="00254940">
        <w:rPr>
          <w:rFonts w:cs="Arial"/>
        </w:rPr>
        <w:t xml:space="preserve">a marked deterioration after an initial form of the illness (so-called ‘double-sickening’). </w:t>
      </w:r>
    </w:p>
    <w:p w14:paraId="7A379926" w14:textId="77777777" w:rsidR="00254940" w:rsidRDefault="00254940" w:rsidP="00254940">
      <w:pPr>
        <w:numPr>
          <w:ilvl w:val="0"/>
          <w:numId w:val="15"/>
        </w:numPr>
        <w:spacing w:after="0"/>
        <w:ind w:left="426" w:hanging="283"/>
        <w:contextualSpacing/>
        <w:rPr>
          <w:rFonts w:cs="Arial"/>
        </w:rPr>
      </w:pPr>
      <w:r w:rsidRPr="00254940">
        <w:rPr>
          <w:rFonts w:cs="Arial"/>
        </w:rPr>
        <w:t>Elevated ESR/CRP although the practicality of this criterion in primary care is limited.</w:t>
      </w:r>
    </w:p>
    <w:p w14:paraId="214A1C30" w14:textId="77777777" w:rsidR="00254940" w:rsidRPr="00254940" w:rsidRDefault="00254940" w:rsidP="00E25014">
      <w:pPr>
        <w:spacing w:after="0"/>
        <w:ind w:left="426"/>
        <w:contextualSpacing/>
        <w:rPr>
          <w:rFonts w:cs="Arial"/>
        </w:rPr>
      </w:pPr>
    </w:p>
    <w:p w14:paraId="41FB3C84" w14:textId="78B3C142" w:rsidR="00254940" w:rsidRPr="005B447D" w:rsidRDefault="00254940" w:rsidP="00254940">
      <w:pPr>
        <w:keepNext/>
        <w:keepLines/>
        <w:spacing w:before="200" w:after="0"/>
        <w:contextualSpacing/>
        <w:outlineLvl w:val="3"/>
        <w:rPr>
          <w:rFonts w:asciiTheme="majorHAnsi" w:eastAsiaTheme="majorEastAsia" w:hAnsiTheme="majorHAnsi" w:cstheme="majorBidi"/>
          <w:b/>
          <w:bCs/>
          <w:i/>
          <w:iCs/>
          <w:color w:val="AF1E2C"/>
        </w:rPr>
      </w:pPr>
      <w:r w:rsidRPr="005B447D">
        <w:rPr>
          <w:rFonts w:asciiTheme="majorHAnsi" w:eastAsiaTheme="majorEastAsia" w:hAnsiTheme="majorHAnsi" w:cstheme="majorBidi"/>
          <w:b/>
          <w:bCs/>
          <w:i/>
          <w:iCs/>
          <w:color w:val="AF1E2C"/>
        </w:rPr>
        <w:t>B) Audit cases by whether an immediate delayed/back-up or no antibiotic prescribing strategy is adopted, in lin</w:t>
      </w:r>
      <w:r w:rsidR="00A26E44" w:rsidRPr="005B447D">
        <w:rPr>
          <w:rFonts w:asciiTheme="majorHAnsi" w:eastAsiaTheme="majorEastAsia" w:hAnsiTheme="majorHAnsi" w:cstheme="majorBidi"/>
          <w:b/>
          <w:bCs/>
          <w:i/>
          <w:iCs/>
          <w:color w:val="AF1E2C"/>
        </w:rPr>
        <w:t>e with NICE CG69/PHE guidelines</w:t>
      </w:r>
      <w:r w:rsidRPr="005B447D">
        <w:rPr>
          <w:rFonts w:asciiTheme="majorHAnsi" w:eastAsiaTheme="majorEastAsia" w:hAnsiTheme="majorHAnsi" w:cstheme="majorBidi"/>
          <w:b/>
          <w:bCs/>
          <w:i/>
          <w:iCs/>
          <w:color w:val="AF1E2C"/>
        </w:rPr>
        <w:t xml:space="preserve"> or EPOS (depending on which guidelines you usually use).</w:t>
      </w:r>
    </w:p>
    <w:p w14:paraId="5E4D7B94" w14:textId="77777777" w:rsidR="00254940" w:rsidRPr="00254940" w:rsidRDefault="00254940" w:rsidP="00254940">
      <w:pPr>
        <w:autoSpaceDE w:val="0"/>
        <w:autoSpaceDN w:val="0"/>
        <w:adjustRightInd w:val="0"/>
        <w:spacing w:afterLines="80" w:after="192"/>
        <w:contextualSpacing/>
        <w:rPr>
          <w:rFonts w:cs="Arial"/>
        </w:rPr>
      </w:pPr>
      <w:r w:rsidRPr="00254940">
        <w:rPr>
          <w:rFonts w:cs="Arial"/>
        </w:rPr>
        <w:t>In all consultations the following points should be considered and audited</w:t>
      </w:r>
    </w:p>
    <w:p w14:paraId="5D8ABE9F" w14:textId="77777777" w:rsidR="00254940" w:rsidRPr="00254940" w:rsidRDefault="00254940" w:rsidP="00254940">
      <w:pPr>
        <w:numPr>
          <w:ilvl w:val="0"/>
          <w:numId w:val="23"/>
        </w:numPr>
        <w:autoSpaceDE w:val="0"/>
        <w:autoSpaceDN w:val="0"/>
        <w:adjustRightInd w:val="0"/>
        <w:spacing w:afterLines="80" w:after="192"/>
        <w:ind w:left="426" w:hanging="284"/>
        <w:contextualSpacing/>
        <w:rPr>
          <w:rFonts w:cs="Arial"/>
        </w:rPr>
      </w:pPr>
      <w:r w:rsidRPr="00254940">
        <w:rPr>
          <w:rFonts w:cs="Arial"/>
        </w:rPr>
        <w:t>Advice about usual natural history of the illness and average total illness length of ARS:17 days</w:t>
      </w:r>
    </w:p>
    <w:p w14:paraId="2EBFBC25" w14:textId="77777777" w:rsidR="00254940" w:rsidRPr="00254940" w:rsidRDefault="00254940" w:rsidP="00254940">
      <w:pPr>
        <w:numPr>
          <w:ilvl w:val="0"/>
          <w:numId w:val="23"/>
        </w:numPr>
        <w:autoSpaceDE w:val="0"/>
        <w:autoSpaceDN w:val="0"/>
        <w:adjustRightInd w:val="0"/>
        <w:spacing w:afterLines="80" w:after="192"/>
        <w:ind w:left="426" w:hanging="284"/>
        <w:contextualSpacing/>
        <w:rPr>
          <w:rFonts w:cs="Arial"/>
        </w:rPr>
      </w:pPr>
      <w:r w:rsidRPr="00254940">
        <w:rPr>
          <w:rFonts w:cs="Arial"/>
        </w:rPr>
        <w:t>Advice about managing symptoms including fever (particularly analgesics and antipyretics).</w:t>
      </w:r>
    </w:p>
    <w:p w14:paraId="0CA19DE1" w14:textId="77777777" w:rsidR="00254940" w:rsidRPr="00254940" w:rsidRDefault="00254940" w:rsidP="00254940">
      <w:pPr>
        <w:autoSpaceDE w:val="0"/>
        <w:autoSpaceDN w:val="0"/>
        <w:adjustRightInd w:val="0"/>
        <w:spacing w:afterLines="80" w:after="192"/>
        <w:contextualSpacing/>
        <w:rPr>
          <w:rFonts w:cs="Arial"/>
          <w:u w:val="single"/>
        </w:rPr>
      </w:pPr>
      <w:r w:rsidRPr="00254940">
        <w:rPr>
          <w:rFonts w:cs="Arial"/>
          <w:u w:val="single"/>
        </w:rPr>
        <w:t xml:space="preserve">Immediate Antimicrobial Prescription </w:t>
      </w:r>
    </w:p>
    <w:p w14:paraId="2F326A53" w14:textId="77777777" w:rsidR="00254940" w:rsidRPr="00254940" w:rsidRDefault="00254940" w:rsidP="00254940">
      <w:pPr>
        <w:autoSpaceDE w:val="0"/>
        <w:autoSpaceDN w:val="0"/>
        <w:adjustRightInd w:val="0"/>
        <w:spacing w:afterLines="80" w:after="192"/>
        <w:contextualSpacing/>
        <w:rPr>
          <w:rFonts w:cs="Arial"/>
        </w:rPr>
      </w:pPr>
      <w:r w:rsidRPr="00254940">
        <w:rPr>
          <w:rFonts w:cs="Arial"/>
        </w:rPr>
        <w:t xml:space="preserve">If an immediate antimicrobial prescription is </w:t>
      </w:r>
      <w:proofErr w:type="gramStart"/>
      <w:r w:rsidRPr="00254940">
        <w:rPr>
          <w:rFonts w:cs="Arial"/>
        </w:rPr>
        <w:t>given</w:t>
      </w:r>
      <w:proofErr w:type="gramEnd"/>
      <w:r w:rsidRPr="00254940">
        <w:rPr>
          <w:rFonts w:cs="Arial"/>
        </w:rPr>
        <w:t xml:space="preserve"> then the following points should be considered and audited. </w:t>
      </w:r>
    </w:p>
    <w:p w14:paraId="3C25C4B9" w14:textId="77777777" w:rsidR="00254940" w:rsidRPr="00254940" w:rsidRDefault="00254940" w:rsidP="00254940">
      <w:pPr>
        <w:numPr>
          <w:ilvl w:val="0"/>
          <w:numId w:val="16"/>
        </w:numPr>
        <w:autoSpaceDE w:val="0"/>
        <w:autoSpaceDN w:val="0"/>
        <w:adjustRightInd w:val="0"/>
        <w:spacing w:afterLines="80" w:after="192"/>
        <w:ind w:left="426" w:hanging="284"/>
        <w:contextualSpacing/>
        <w:rPr>
          <w:rFonts w:cs="Arial"/>
        </w:rPr>
      </w:pPr>
      <w:r w:rsidRPr="00254940">
        <w:rPr>
          <w:rFonts w:cs="Arial"/>
        </w:rPr>
        <w:t>Compliance with the antibiotic(s) prescribed, dose, frequency and duration can be determined using the PHE Primary Care guidance or local CCG guidance for acute sinusitis.</w:t>
      </w:r>
    </w:p>
    <w:p w14:paraId="0FF8CD7E" w14:textId="77777777" w:rsidR="00254940" w:rsidRPr="00254940" w:rsidRDefault="00254940" w:rsidP="00254940">
      <w:pPr>
        <w:autoSpaceDE w:val="0"/>
        <w:autoSpaceDN w:val="0"/>
        <w:adjustRightInd w:val="0"/>
        <w:spacing w:afterLines="80" w:after="192"/>
        <w:contextualSpacing/>
        <w:rPr>
          <w:rFonts w:cs="Arial"/>
          <w:u w:val="single"/>
        </w:rPr>
      </w:pPr>
      <w:r w:rsidRPr="00254940">
        <w:rPr>
          <w:rFonts w:cs="Arial"/>
          <w:u w:val="single"/>
        </w:rPr>
        <w:t xml:space="preserve">Delayed/back-up Antimicrobial Prescription </w:t>
      </w:r>
    </w:p>
    <w:p w14:paraId="56F01DE8" w14:textId="77777777" w:rsidR="00254940" w:rsidRPr="00254940" w:rsidRDefault="00254940" w:rsidP="00254940">
      <w:pPr>
        <w:autoSpaceDE w:val="0"/>
        <w:autoSpaceDN w:val="0"/>
        <w:adjustRightInd w:val="0"/>
        <w:spacing w:afterLines="80" w:after="192"/>
        <w:contextualSpacing/>
        <w:rPr>
          <w:rFonts w:cs="Arial"/>
        </w:rPr>
      </w:pPr>
      <w:r w:rsidRPr="00254940">
        <w:rPr>
          <w:rFonts w:cs="Arial"/>
        </w:rPr>
        <w:t xml:space="preserve">If a delayed antimicrobial prescription is </w:t>
      </w:r>
      <w:proofErr w:type="gramStart"/>
      <w:r w:rsidRPr="00254940">
        <w:rPr>
          <w:rFonts w:cs="Arial"/>
        </w:rPr>
        <w:t>given</w:t>
      </w:r>
      <w:proofErr w:type="gramEnd"/>
      <w:r w:rsidRPr="00254940">
        <w:rPr>
          <w:rFonts w:cs="Arial"/>
        </w:rPr>
        <w:t xml:space="preserve"> then the following points should be considered and audited. </w:t>
      </w:r>
    </w:p>
    <w:p w14:paraId="54B843E4" w14:textId="77777777" w:rsidR="00254940" w:rsidRPr="00254940" w:rsidRDefault="00254940" w:rsidP="00254940">
      <w:pPr>
        <w:numPr>
          <w:ilvl w:val="0"/>
          <w:numId w:val="17"/>
        </w:numPr>
        <w:autoSpaceDE w:val="0"/>
        <w:autoSpaceDN w:val="0"/>
        <w:adjustRightInd w:val="0"/>
        <w:spacing w:afterLines="80" w:after="192"/>
        <w:ind w:left="426" w:hanging="284"/>
        <w:contextualSpacing/>
        <w:rPr>
          <w:rFonts w:cs="Arial"/>
        </w:rPr>
      </w:pPr>
      <w:r w:rsidRPr="00254940">
        <w:rPr>
          <w:rFonts w:cs="Arial"/>
        </w:rPr>
        <w:t>Reassurance that antibiotics are not needed immediately because they will make little difference to symptoms and may have side effects, for example, diarrhoea, vomiting and rash.</w:t>
      </w:r>
    </w:p>
    <w:p w14:paraId="3C117046" w14:textId="77777777" w:rsidR="00254940" w:rsidRPr="00254940" w:rsidRDefault="00254940" w:rsidP="00254940">
      <w:pPr>
        <w:numPr>
          <w:ilvl w:val="0"/>
          <w:numId w:val="17"/>
        </w:numPr>
        <w:autoSpaceDE w:val="0"/>
        <w:autoSpaceDN w:val="0"/>
        <w:adjustRightInd w:val="0"/>
        <w:spacing w:afterLines="80" w:after="192"/>
        <w:ind w:left="426" w:hanging="284"/>
        <w:contextualSpacing/>
        <w:rPr>
          <w:rFonts w:cs="Arial"/>
        </w:rPr>
      </w:pPr>
      <w:r w:rsidRPr="00254940">
        <w:rPr>
          <w:rFonts w:cs="Arial"/>
        </w:rPr>
        <w:t xml:space="preserve">Advice about using the delayed/back-up antibiotic prescription if symptoms are not starting to settle in accordance with the expected course of the illness or if a significant worsening of symptoms occurs. </w:t>
      </w:r>
    </w:p>
    <w:p w14:paraId="040CFD3B" w14:textId="77777777" w:rsidR="00254940" w:rsidRPr="00254940" w:rsidRDefault="00254940" w:rsidP="00254940">
      <w:pPr>
        <w:numPr>
          <w:ilvl w:val="0"/>
          <w:numId w:val="17"/>
        </w:numPr>
        <w:autoSpaceDE w:val="0"/>
        <w:autoSpaceDN w:val="0"/>
        <w:adjustRightInd w:val="0"/>
        <w:spacing w:afterLines="80" w:after="192"/>
        <w:ind w:left="426" w:hanging="284"/>
        <w:contextualSpacing/>
        <w:rPr>
          <w:rFonts w:cs="Arial"/>
        </w:rPr>
      </w:pPr>
      <w:r w:rsidRPr="00254940">
        <w:rPr>
          <w:rFonts w:cs="Arial"/>
        </w:rPr>
        <w:lastRenderedPageBreak/>
        <w:t>Advice about re-consulting if symptoms get significantly worse despite using the delayed/back-up prescription.</w:t>
      </w:r>
    </w:p>
    <w:p w14:paraId="015B8512" w14:textId="77777777" w:rsidR="00254940" w:rsidRPr="00254940" w:rsidRDefault="00254940" w:rsidP="00254940">
      <w:pPr>
        <w:numPr>
          <w:ilvl w:val="0"/>
          <w:numId w:val="17"/>
        </w:numPr>
        <w:autoSpaceDE w:val="0"/>
        <w:autoSpaceDN w:val="0"/>
        <w:adjustRightInd w:val="0"/>
        <w:spacing w:afterLines="80" w:after="192"/>
        <w:ind w:left="426" w:hanging="284"/>
        <w:contextualSpacing/>
        <w:rPr>
          <w:rFonts w:cs="Arial"/>
        </w:rPr>
      </w:pPr>
      <w:r w:rsidRPr="00254940">
        <w:rPr>
          <w:rFonts w:cs="Arial"/>
        </w:rPr>
        <w:t>Compliance with the antibiotic(s) prescribed, dose, frequency and duration can be determined using the PHE Primary Care guidance or local CCG guidance for acute rhinosinusitis.</w:t>
      </w:r>
    </w:p>
    <w:p w14:paraId="2F0CC5B4" w14:textId="77777777" w:rsidR="00254940" w:rsidRPr="00254940" w:rsidRDefault="00254940" w:rsidP="00254940">
      <w:pPr>
        <w:autoSpaceDE w:val="0"/>
        <w:autoSpaceDN w:val="0"/>
        <w:adjustRightInd w:val="0"/>
        <w:spacing w:afterLines="80" w:after="192"/>
        <w:rPr>
          <w:rFonts w:cs="Arial"/>
        </w:rPr>
      </w:pPr>
    </w:p>
    <w:p w14:paraId="18094CC8" w14:textId="77777777" w:rsidR="00254940" w:rsidRPr="00254940" w:rsidRDefault="00254940" w:rsidP="00254940">
      <w:pPr>
        <w:autoSpaceDE w:val="0"/>
        <w:autoSpaceDN w:val="0"/>
        <w:adjustRightInd w:val="0"/>
        <w:spacing w:afterLines="80" w:after="192"/>
        <w:ind w:left="426"/>
        <w:contextualSpacing/>
        <w:rPr>
          <w:rFonts w:cs="Arial"/>
          <w:u w:val="single"/>
        </w:rPr>
      </w:pPr>
      <w:r w:rsidRPr="00254940">
        <w:rPr>
          <w:rFonts w:cs="Arial"/>
          <w:u w:val="single"/>
        </w:rPr>
        <w:t xml:space="preserve">No Antimicrobial Prescription </w:t>
      </w:r>
    </w:p>
    <w:p w14:paraId="37D35116" w14:textId="77777777" w:rsidR="00254940" w:rsidRPr="00254940" w:rsidRDefault="00254940" w:rsidP="00254940">
      <w:pPr>
        <w:autoSpaceDE w:val="0"/>
        <w:autoSpaceDN w:val="0"/>
        <w:adjustRightInd w:val="0"/>
        <w:spacing w:afterLines="80" w:after="192"/>
        <w:ind w:left="426"/>
        <w:contextualSpacing/>
        <w:rPr>
          <w:rFonts w:cs="Arial"/>
        </w:rPr>
      </w:pPr>
      <w:r w:rsidRPr="00254940">
        <w:rPr>
          <w:rFonts w:cs="Arial"/>
        </w:rPr>
        <w:t xml:space="preserve">If a no antibiotic policy is instituted the following should be offered and audited: </w:t>
      </w:r>
    </w:p>
    <w:p w14:paraId="40DA9292" w14:textId="77777777" w:rsidR="00254940" w:rsidRPr="00254940" w:rsidRDefault="00254940" w:rsidP="00254940">
      <w:pPr>
        <w:numPr>
          <w:ilvl w:val="0"/>
          <w:numId w:val="18"/>
        </w:numPr>
        <w:autoSpaceDE w:val="0"/>
        <w:autoSpaceDN w:val="0"/>
        <w:adjustRightInd w:val="0"/>
        <w:spacing w:afterLines="80" w:after="192"/>
        <w:ind w:left="1134"/>
        <w:contextualSpacing/>
        <w:rPr>
          <w:rFonts w:cs="Arial"/>
        </w:rPr>
      </w:pPr>
      <w:r w:rsidRPr="00254940">
        <w:rPr>
          <w:rFonts w:cs="Arial"/>
        </w:rPr>
        <w:t>Reassurance that antibiotics are not needed immediately because they will make little difference to symptoms and may have side effects, for example, diarrhoea, vomiting and rash.</w:t>
      </w:r>
    </w:p>
    <w:p w14:paraId="1C35B78B" w14:textId="77777777" w:rsidR="00254940" w:rsidRDefault="00254940" w:rsidP="00254940">
      <w:pPr>
        <w:numPr>
          <w:ilvl w:val="0"/>
          <w:numId w:val="18"/>
        </w:numPr>
        <w:autoSpaceDE w:val="0"/>
        <w:autoSpaceDN w:val="0"/>
        <w:adjustRightInd w:val="0"/>
        <w:spacing w:afterLines="80" w:after="192"/>
        <w:ind w:left="1134"/>
        <w:contextualSpacing/>
        <w:rPr>
          <w:rFonts w:cs="Arial"/>
        </w:rPr>
      </w:pPr>
      <w:r w:rsidRPr="00254940">
        <w:rPr>
          <w:rFonts w:cs="Arial"/>
        </w:rPr>
        <w:t xml:space="preserve">A clinical review if the condition worsens or becomes prolonged. </w:t>
      </w:r>
    </w:p>
    <w:p w14:paraId="3BDCFDEF" w14:textId="77777777" w:rsidR="00254940" w:rsidRPr="00254940" w:rsidRDefault="00254940" w:rsidP="00E25014">
      <w:pPr>
        <w:autoSpaceDE w:val="0"/>
        <w:autoSpaceDN w:val="0"/>
        <w:adjustRightInd w:val="0"/>
        <w:spacing w:afterLines="80" w:after="192"/>
        <w:ind w:left="1134"/>
        <w:contextualSpacing/>
        <w:rPr>
          <w:rFonts w:cs="Arial"/>
        </w:rPr>
      </w:pPr>
    </w:p>
    <w:p w14:paraId="53CF146E" w14:textId="77777777" w:rsidR="00254940" w:rsidRPr="005B447D" w:rsidRDefault="00254940" w:rsidP="00254940">
      <w:pPr>
        <w:keepNext/>
        <w:keepLines/>
        <w:spacing w:before="200" w:after="0"/>
        <w:contextualSpacing/>
        <w:outlineLvl w:val="3"/>
        <w:rPr>
          <w:rFonts w:asciiTheme="majorHAnsi" w:eastAsiaTheme="majorEastAsia" w:hAnsiTheme="majorHAnsi" w:cstheme="majorBidi"/>
          <w:b/>
          <w:bCs/>
          <w:i/>
          <w:iCs/>
          <w:color w:val="AF1E2C"/>
        </w:rPr>
      </w:pPr>
      <w:r w:rsidRPr="005B447D">
        <w:rPr>
          <w:rFonts w:asciiTheme="majorHAnsi" w:eastAsiaTheme="majorEastAsia" w:hAnsiTheme="majorHAnsi" w:cstheme="majorBidi"/>
          <w:b/>
          <w:bCs/>
          <w:i/>
          <w:iCs/>
          <w:color w:val="AF1E2C"/>
        </w:rPr>
        <w:t>C) Audit advice shared with the patient in line with NICE 69 and NICE PHAC antimicrobial stewardship guidance 2016 QS121</w:t>
      </w:r>
    </w:p>
    <w:p w14:paraId="4A4F9DFF" w14:textId="77777777" w:rsidR="00254940" w:rsidRPr="00254940" w:rsidRDefault="00254940" w:rsidP="00254940">
      <w:pPr>
        <w:numPr>
          <w:ilvl w:val="0"/>
          <w:numId w:val="22"/>
        </w:numPr>
        <w:tabs>
          <w:tab w:val="num" w:pos="1137"/>
        </w:tabs>
        <w:autoSpaceDE w:val="0"/>
        <w:autoSpaceDN w:val="0"/>
        <w:adjustRightInd w:val="0"/>
        <w:spacing w:after="0"/>
        <w:ind w:left="723"/>
        <w:contextualSpacing/>
        <w:rPr>
          <w:rFonts w:cs="Arial"/>
        </w:rPr>
      </w:pPr>
      <w:r w:rsidRPr="00254940">
        <w:rPr>
          <w:rFonts w:cs="Arial"/>
        </w:rPr>
        <w:t>information shared about antibiotic use and resistance e.g. Treating Your Infection leaflet including:</w:t>
      </w:r>
    </w:p>
    <w:p w14:paraId="6B6D17E6" w14:textId="77777777" w:rsidR="00254940" w:rsidRPr="00254940" w:rsidRDefault="00254940" w:rsidP="00254940">
      <w:pPr>
        <w:numPr>
          <w:ilvl w:val="0"/>
          <w:numId w:val="22"/>
        </w:numPr>
        <w:tabs>
          <w:tab w:val="num" w:pos="1137"/>
        </w:tabs>
        <w:spacing w:after="0"/>
        <w:ind w:left="723" w:hanging="357"/>
        <w:contextualSpacing/>
        <w:rPr>
          <w:rFonts w:cs="Arial"/>
        </w:rPr>
      </w:pPr>
      <w:r w:rsidRPr="00254940">
        <w:rPr>
          <w:rFonts w:cs="Arial"/>
        </w:rPr>
        <w:t>the usual natural history of the illness.</w:t>
      </w:r>
    </w:p>
    <w:p w14:paraId="533AD1B5" w14:textId="77777777" w:rsidR="00254940" w:rsidRPr="00254940" w:rsidRDefault="00254940" w:rsidP="00254940">
      <w:pPr>
        <w:numPr>
          <w:ilvl w:val="0"/>
          <w:numId w:val="21"/>
        </w:numPr>
        <w:tabs>
          <w:tab w:val="num" w:pos="1137"/>
        </w:tabs>
        <w:autoSpaceDE w:val="0"/>
        <w:autoSpaceDN w:val="0"/>
        <w:adjustRightInd w:val="0"/>
        <w:spacing w:after="0"/>
        <w:ind w:left="712" w:hanging="357"/>
        <w:contextualSpacing/>
        <w:rPr>
          <w:rFonts w:cs="Arial"/>
        </w:rPr>
      </w:pPr>
      <w:r w:rsidRPr="00254940">
        <w:rPr>
          <w:rFonts w:cs="Arial"/>
        </w:rPr>
        <w:t>managing symptoms, including fever.</w:t>
      </w:r>
    </w:p>
    <w:p w14:paraId="128BF009" w14:textId="77777777" w:rsidR="00254940" w:rsidRPr="00254940" w:rsidRDefault="00254940" w:rsidP="00254940">
      <w:pPr>
        <w:numPr>
          <w:ilvl w:val="0"/>
          <w:numId w:val="21"/>
        </w:numPr>
        <w:tabs>
          <w:tab w:val="num" w:pos="1137"/>
        </w:tabs>
        <w:autoSpaceDE w:val="0"/>
        <w:autoSpaceDN w:val="0"/>
        <w:adjustRightInd w:val="0"/>
        <w:spacing w:after="0"/>
        <w:ind w:left="712" w:hanging="357"/>
        <w:contextualSpacing/>
        <w:rPr>
          <w:rFonts w:cs="Arial"/>
        </w:rPr>
      </w:pPr>
      <w:r w:rsidRPr="00254940">
        <w:rPr>
          <w:rFonts w:cs="Arial"/>
        </w:rPr>
        <w:t>safety netting: advice about re-consulting if the symptoms worsen or become prolonged.</w:t>
      </w:r>
    </w:p>
    <w:p w14:paraId="1D845699" w14:textId="77777777" w:rsidR="00254940" w:rsidRDefault="00254940" w:rsidP="00254940">
      <w:pPr>
        <w:numPr>
          <w:ilvl w:val="0"/>
          <w:numId w:val="21"/>
        </w:numPr>
        <w:tabs>
          <w:tab w:val="num" w:pos="1137"/>
        </w:tabs>
        <w:autoSpaceDE w:val="0"/>
        <w:autoSpaceDN w:val="0"/>
        <w:adjustRightInd w:val="0"/>
        <w:spacing w:after="0"/>
        <w:ind w:left="712"/>
        <w:contextualSpacing/>
        <w:rPr>
          <w:rFonts w:cs="Arial"/>
        </w:rPr>
      </w:pPr>
      <w:r w:rsidRPr="00254940">
        <w:rPr>
          <w:rFonts w:cs="Arial"/>
        </w:rPr>
        <w:t xml:space="preserve">patient’ or carers’ concerns and expectations addressed when agreeing management. </w:t>
      </w:r>
    </w:p>
    <w:p w14:paraId="2806A08D" w14:textId="77777777" w:rsidR="00254940" w:rsidRPr="00254940" w:rsidRDefault="00254940" w:rsidP="00E25014">
      <w:pPr>
        <w:autoSpaceDE w:val="0"/>
        <w:autoSpaceDN w:val="0"/>
        <w:adjustRightInd w:val="0"/>
        <w:spacing w:after="0"/>
        <w:contextualSpacing/>
        <w:rPr>
          <w:rFonts w:cs="Arial"/>
        </w:rPr>
      </w:pPr>
    </w:p>
    <w:p w14:paraId="78FAF070" w14:textId="77777777" w:rsidR="00254940" w:rsidRPr="005B447D" w:rsidRDefault="00254940" w:rsidP="00254940">
      <w:pPr>
        <w:keepNext/>
        <w:keepLines/>
        <w:spacing w:before="200" w:after="0"/>
        <w:contextualSpacing/>
        <w:outlineLvl w:val="3"/>
        <w:rPr>
          <w:rFonts w:asciiTheme="majorHAnsi" w:eastAsiaTheme="majorEastAsia" w:hAnsiTheme="majorHAnsi" w:cstheme="majorBidi"/>
          <w:b/>
          <w:bCs/>
          <w:i/>
          <w:iCs/>
          <w:color w:val="AF1E2C"/>
        </w:rPr>
      </w:pPr>
      <w:r w:rsidRPr="005B447D">
        <w:rPr>
          <w:rFonts w:asciiTheme="majorHAnsi" w:eastAsiaTheme="majorEastAsia" w:hAnsiTheme="majorHAnsi" w:cstheme="majorBidi"/>
          <w:b/>
          <w:bCs/>
          <w:i/>
          <w:iCs/>
          <w:color w:val="AF1E2C"/>
        </w:rPr>
        <w:t>D) Audit antibiotic choice, dose and duration</w:t>
      </w:r>
    </w:p>
    <w:p w14:paraId="4DE6F61E" w14:textId="77777777" w:rsidR="00254940" w:rsidRPr="00254940" w:rsidRDefault="00254940" w:rsidP="00254940">
      <w:pPr>
        <w:spacing w:after="0"/>
        <w:ind w:left="720"/>
        <w:contextualSpacing/>
        <w:rPr>
          <w:rFonts w:cs="Arial"/>
        </w:rPr>
      </w:pPr>
    </w:p>
    <w:p w14:paraId="76C630F5" w14:textId="41488331" w:rsidR="000D63A0" w:rsidRPr="001C6D0D" w:rsidRDefault="000D63A0" w:rsidP="00E25014">
      <w:pPr>
        <w:autoSpaceDE w:val="0"/>
        <w:autoSpaceDN w:val="0"/>
        <w:adjustRightInd w:val="0"/>
        <w:spacing w:after="0"/>
        <w:contextualSpacing/>
        <w:rPr>
          <w:rFonts w:cs="Arial"/>
          <w:sz w:val="24"/>
          <w:szCs w:val="24"/>
        </w:rPr>
      </w:pPr>
    </w:p>
    <w:sectPr w:rsidR="000D63A0" w:rsidRPr="001C6D0D" w:rsidSect="007512D2">
      <w:headerReference w:type="first" r:id="rId20"/>
      <w:pgSz w:w="11906" w:h="16838"/>
      <w:pgMar w:top="720" w:right="720" w:bottom="720" w:left="720" w:header="709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99AF6" w14:textId="77777777" w:rsidR="007512D2" w:rsidRDefault="007512D2" w:rsidP="00EB27E7">
      <w:pPr>
        <w:spacing w:after="0" w:line="240" w:lineRule="auto"/>
      </w:pPr>
      <w:r>
        <w:separator/>
      </w:r>
    </w:p>
  </w:endnote>
  <w:endnote w:type="continuationSeparator" w:id="0">
    <w:p w14:paraId="019975A3" w14:textId="77777777" w:rsidR="007512D2" w:rsidRDefault="007512D2" w:rsidP="00EB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13647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27F05" w14:textId="77777777" w:rsidR="007512D2" w:rsidRPr="00526DA2" w:rsidRDefault="007512D2">
        <w:pPr>
          <w:pStyle w:val="Footer"/>
          <w:jc w:val="center"/>
          <w:rPr>
            <w:noProof/>
            <w:sz w:val="18"/>
            <w:szCs w:val="18"/>
          </w:rPr>
        </w:pPr>
        <w:r w:rsidRPr="00526DA2">
          <w:rPr>
            <w:sz w:val="18"/>
            <w:szCs w:val="18"/>
          </w:rPr>
          <w:fldChar w:fldCharType="begin"/>
        </w:r>
        <w:r w:rsidRPr="00526DA2">
          <w:rPr>
            <w:sz w:val="18"/>
            <w:szCs w:val="18"/>
          </w:rPr>
          <w:instrText xml:space="preserve"> PAGE   \* MERGEFORMAT </w:instrText>
        </w:r>
        <w:r w:rsidRPr="00526DA2">
          <w:rPr>
            <w:sz w:val="18"/>
            <w:szCs w:val="18"/>
          </w:rPr>
          <w:fldChar w:fldCharType="separate"/>
        </w:r>
        <w:r w:rsidRPr="00526DA2">
          <w:rPr>
            <w:noProof/>
            <w:sz w:val="18"/>
            <w:szCs w:val="18"/>
          </w:rPr>
          <w:t>1</w:t>
        </w:r>
        <w:r w:rsidRPr="00526DA2">
          <w:rPr>
            <w:noProof/>
            <w:sz w:val="18"/>
            <w:szCs w:val="18"/>
          </w:rPr>
          <w:fldChar w:fldCharType="end"/>
        </w:r>
      </w:p>
      <w:p w14:paraId="0E449A44" w14:textId="2D24193C" w:rsidR="007512D2" w:rsidRPr="00526DA2" w:rsidRDefault="00526DA2">
        <w:pPr>
          <w:pStyle w:val="Footer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TARGET is operated by the UK Health Secuirty Agency      </w:t>
        </w:r>
        <w:r w:rsidR="007512D2" w:rsidRPr="00526DA2">
          <w:rPr>
            <w:noProof/>
            <w:sz w:val="18"/>
            <w:szCs w:val="18"/>
          </w:rPr>
          <w:t>Version:4      Published:July 2019       Review Date: July 2020</w:t>
        </w:r>
      </w:p>
    </w:sdtContent>
  </w:sdt>
  <w:p w14:paraId="288BD573" w14:textId="77777777" w:rsidR="007512D2" w:rsidRPr="00526DA2" w:rsidRDefault="007512D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4164" w14:textId="77777777" w:rsidR="007512D2" w:rsidRDefault="007512D2" w:rsidP="00EB27E7">
      <w:pPr>
        <w:spacing w:after="0" w:line="240" w:lineRule="auto"/>
      </w:pPr>
      <w:r>
        <w:separator/>
      </w:r>
    </w:p>
  </w:footnote>
  <w:footnote w:type="continuationSeparator" w:id="0">
    <w:p w14:paraId="2C9A0408" w14:textId="77777777" w:rsidR="007512D2" w:rsidRDefault="007512D2" w:rsidP="00EB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735F" w14:textId="1DB94678" w:rsidR="007512D2" w:rsidRPr="00A837FE" w:rsidRDefault="007512D2" w:rsidP="00A837FE">
    <w:pPr>
      <w:pBdr>
        <w:bottom w:val="single" w:sz="4" w:space="1" w:color="auto"/>
      </w:pBdr>
      <w:jc w:val="center"/>
      <w:rPr>
        <w:rFonts w:cs="Arial"/>
        <w:b/>
        <w:bCs/>
        <w:color w:val="1F497D"/>
        <w:sz w:val="28"/>
        <w:szCs w:val="28"/>
      </w:rPr>
    </w:pPr>
    <w:r w:rsidRPr="00570BEE">
      <w:rPr>
        <w:rFonts w:eastAsia="Calibri" w:cs="Arial"/>
        <w:b/>
        <w:bCs/>
        <w:color w:val="1F497D"/>
        <w:sz w:val="28"/>
        <w:szCs w:val="26"/>
      </w:rPr>
      <w:t xml:space="preserve"> </w:t>
    </w:r>
    <w:r w:rsidRPr="00272D7D">
      <w:rPr>
        <w:rFonts w:eastAsia="Calibri" w:cs="Arial"/>
        <w:b/>
        <w:bCs/>
        <w:color w:val="1F497D"/>
        <w:sz w:val="28"/>
        <w:szCs w:val="26"/>
      </w:rPr>
      <w:t xml:space="preserve">ACUTE </w:t>
    </w:r>
    <w:r>
      <w:rPr>
        <w:rFonts w:eastAsia="Calibri" w:cs="Arial"/>
        <w:b/>
        <w:bCs/>
        <w:color w:val="1F497D"/>
        <w:sz w:val="28"/>
        <w:szCs w:val="26"/>
      </w:rPr>
      <w:t>RHINOSINUSITIS</w:t>
    </w:r>
    <w:r w:rsidRPr="00272D7D">
      <w:rPr>
        <w:rFonts w:eastAsia="Calibri" w:cs="Arial"/>
        <w:b/>
        <w:bCs/>
        <w:color w:val="1F497D"/>
        <w:sz w:val="28"/>
        <w:szCs w:val="26"/>
      </w:rPr>
      <w:t xml:space="preserve"> </w:t>
    </w:r>
    <w:r>
      <w:rPr>
        <w:rStyle w:val="Heading2Char"/>
        <w:rFonts w:eastAsiaTheme="minorHAnsi" w:cs="Arial"/>
        <w:sz w:val="28"/>
        <w:szCs w:val="28"/>
      </w:rPr>
      <w:t>in Primary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DBC"/>
    <w:multiLevelType w:val="hybridMultilevel"/>
    <w:tmpl w:val="7CE6E60A"/>
    <w:lvl w:ilvl="0" w:tplc="A3CC64A8">
      <w:start w:val="1"/>
      <w:numFmt w:val="upperLetter"/>
      <w:lvlText w:val="%1."/>
      <w:lvlJc w:val="left"/>
      <w:pPr>
        <w:ind w:left="3196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868E3"/>
    <w:multiLevelType w:val="hybridMultilevel"/>
    <w:tmpl w:val="5212D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6E7"/>
    <w:multiLevelType w:val="hybridMultilevel"/>
    <w:tmpl w:val="86B8C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A8E"/>
    <w:multiLevelType w:val="hybridMultilevel"/>
    <w:tmpl w:val="CBB6B1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F0A00"/>
    <w:multiLevelType w:val="hybridMultilevel"/>
    <w:tmpl w:val="9F32D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5624"/>
    <w:multiLevelType w:val="hybridMultilevel"/>
    <w:tmpl w:val="DBCCC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576FA"/>
    <w:multiLevelType w:val="hybridMultilevel"/>
    <w:tmpl w:val="8DDCC248"/>
    <w:lvl w:ilvl="0" w:tplc="B72CB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A30E3"/>
    <w:multiLevelType w:val="hybridMultilevel"/>
    <w:tmpl w:val="6D164CEE"/>
    <w:lvl w:ilvl="0" w:tplc="A3CC64A8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16E4"/>
    <w:multiLevelType w:val="hybridMultilevel"/>
    <w:tmpl w:val="D72A1B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793D4E"/>
    <w:multiLevelType w:val="hybridMultilevel"/>
    <w:tmpl w:val="B8529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3701"/>
    <w:multiLevelType w:val="hybridMultilevel"/>
    <w:tmpl w:val="A0EC2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D3654"/>
    <w:multiLevelType w:val="hybridMultilevel"/>
    <w:tmpl w:val="C86EB5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0D62"/>
    <w:multiLevelType w:val="hybridMultilevel"/>
    <w:tmpl w:val="21FAD6C8"/>
    <w:lvl w:ilvl="0" w:tplc="08090017">
      <w:start w:val="1"/>
      <w:numFmt w:val="lowerLetter"/>
      <w:lvlText w:val="%1)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59A42E98"/>
    <w:multiLevelType w:val="multilevel"/>
    <w:tmpl w:val="72D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413BE"/>
    <w:multiLevelType w:val="hybridMultilevel"/>
    <w:tmpl w:val="1A7EB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73FAF"/>
    <w:multiLevelType w:val="hybridMultilevel"/>
    <w:tmpl w:val="9AAC5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5503"/>
    <w:multiLevelType w:val="hybridMultilevel"/>
    <w:tmpl w:val="F684D938"/>
    <w:lvl w:ilvl="0" w:tplc="CA162960">
      <w:start w:val="1"/>
      <w:numFmt w:val="bullet"/>
      <w:pStyle w:val="PHEBulletpoint"/>
      <w:lvlText w:val=""/>
      <w:lvlJc w:val="left"/>
      <w:pPr>
        <w:ind w:left="786" w:hanging="360"/>
      </w:pPr>
      <w:rPr>
        <w:rFonts w:ascii="Symbol" w:hAnsi="Symbol" w:hint="default"/>
        <w:color w:val="98002E"/>
      </w:rPr>
    </w:lvl>
    <w:lvl w:ilvl="1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" w15:restartNumberingAfterBreak="0">
    <w:nsid w:val="643D4321"/>
    <w:multiLevelType w:val="hybridMultilevel"/>
    <w:tmpl w:val="5E905210"/>
    <w:lvl w:ilvl="0" w:tplc="8130A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349A1"/>
    <w:multiLevelType w:val="hybridMultilevel"/>
    <w:tmpl w:val="6C266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93B1C"/>
    <w:multiLevelType w:val="hybridMultilevel"/>
    <w:tmpl w:val="BAF8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A7DC0"/>
    <w:multiLevelType w:val="hybridMultilevel"/>
    <w:tmpl w:val="12DCE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A74050"/>
    <w:multiLevelType w:val="hybridMultilevel"/>
    <w:tmpl w:val="21FAD6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520C18"/>
    <w:multiLevelType w:val="hybridMultilevel"/>
    <w:tmpl w:val="281AC9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6A715C"/>
    <w:multiLevelType w:val="hybridMultilevel"/>
    <w:tmpl w:val="E9EA7884"/>
    <w:lvl w:ilvl="0" w:tplc="EACE63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3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7"/>
  </w:num>
  <w:num w:numId="10">
    <w:abstractNumId w:val="1"/>
  </w:num>
  <w:num w:numId="11">
    <w:abstractNumId w:val="15"/>
  </w:num>
  <w:num w:numId="12">
    <w:abstractNumId w:val="18"/>
  </w:num>
  <w:num w:numId="13">
    <w:abstractNumId w:val="7"/>
  </w:num>
  <w:num w:numId="14">
    <w:abstractNumId w:val="4"/>
  </w:num>
  <w:num w:numId="15">
    <w:abstractNumId w:val="3"/>
  </w:num>
  <w:num w:numId="16">
    <w:abstractNumId w:val="12"/>
  </w:num>
  <w:num w:numId="17">
    <w:abstractNumId w:val="8"/>
  </w:num>
  <w:num w:numId="18">
    <w:abstractNumId w:val="21"/>
  </w:num>
  <w:num w:numId="19">
    <w:abstractNumId w:val="9"/>
  </w:num>
  <w:num w:numId="20">
    <w:abstractNumId w:val="10"/>
  </w:num>
  <w:num w:numId="21">
    <w:abstractNumId w:val="22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A9"/>
    <w:rsid w:val="00053B6B"/>
    <w:rsid w:val="00090935"/>
    <w:rsid w:val="000A60C9"/>
    <w:rsid w:val="000D63A0"/>
    <w:rsid w:val="00101186"/>
    <w:rsid w:val="001356EF"/>
    <w:rsid w:val="00186E6A"/>
    <w:rsid w:val="00191998"/>
    <w:rsid w:val="00194133"/>
    <w:rsid w:val="001A29AA"/>
    <w:rsid w:val="001A58D8"/>
    <w:rsid w:val="001A7795"/>
    <w:rsid w:val="001B6DE5"/>
    <w:rsid w:val="001C04B5"/>
    <w:rsid w:val="001C66F0"/>
    <w:rsid w:val="001C6D0D"/>
    <w:rsid w:val="0023060F"/>
    <w:rsid w:val="00254940"/>
    <w:rsid w:val="0027260E"/>
    <w:rsid w:val="00272D7D"/>
    <w:rsid w:val="00282904"/>
    <w:rsid w:val="0028396A"/>
    <w:rsid w:val="00331EEC"/>
    <w:rsid w:val="00365EF3"/>
    <w:rsid w:val="00376087"/>
    <w:rsid w:val="00386DC4"/>
    <w:rsid w:val="00395410"/>
    <w:rsid w:val="003971F5"/>
    <w:rsid w:val="003A3BB9"/>
    <w:rsid w:val="003B26B5"/>
    <w:rsid w:val="003B5850"/>
    <w:rsid w:val="003B6ED1"/>
    <w:rsid w:val="003D5070"/>
    <w:rsid w:val="003D62B7"/>
    <w:rsid w:val="003E1647"/>
    <w:rsid w:val="003E2092"/>
    <w:rsid w:val="00485AE3"/>
    <w:rsid w:val="00487C1E"/>
    <w:rsid w:val="004B0A82"/>
    <w:rsid w:val="00511465"/>
    <w:rsid w:val="00515C9E"/>
    <w:rsid w:val="00526DA2"/>
    <w:rsid w:val="005300B8"/>
    <w:rsid w:val="00541C96"/>
    <w:rsid w:val="00550C38"/>
    <w:rsid w:val="00570BEE"/>
    <w:rsid w:val="005B447D"/>
    <w:rsid w:val="005C2E01"/>
    <w:rsid w:val="00616725"/>
    <w:rsid w:val="006615E2"/>
    <w:rsid w:val="006662FF"/>
    <w:rsid w:val="00675502"/>
    <w:rsid w:val="006A44E6"/>
    <w:rsid w:val="006B6EE3"/>
    <w:rsid w:val="0071323E"/>
    <w:rsid w:val="00717A61"/>
    <w:rsid w:val="00726ACA"/>
    <w:rsid w:val="00737952"/>
    <w:rsid w:val="007512D2"/>
    <w:rsid w:val="00755C1C"/>
    <w:rsid w:val="007615A9"/>
    <w:rsid w:val="00807210"/>
    <w:rsid w:val="00807F0B"/>
    <w:rsid w:val="008915E3"/>
    <w:rsid w:val="008A5DEB"/>
    <w:rsid w:val="008E16CC"/>
    <w:rsid w:val="008E5E51"/>
    <w:rsid w:val="009111B1"/>
    <w:rsid w:val="00947916"/>
    <w:rsid w:val="009A5F02"/>
    <w:rsid w:val="009B267C"/>
    <w:rsid w:val="009B52D8"/>
    <w:rsid w:val="009E5622"/>
    <w:rsid w:val="00A042F8"/>
    <w:rsid w:val="00A26E44"/>
    <w:rsid w:val="00A34957"/>
    <w:rsid w:val="00A7768B"/>
    <w:rsid w:val="00A837FE"/>
    <w:rsid w:val="00A87615"/>
    <w:rsid w:val="00AA4572"/>
    <w:rsid w:val="00AB33B2"/>
    <w:rsid w:val="00AC5633"/>
    <w:rsid w:val="00B213D8"/>
    <w:rsid w:val="00B813E8"/>
    <w:rsid w:val="00B94AAA"/>
    <w:rsid w:val="00C04F57"/>
    <w:rsid w:val="00C17E0A"/>
    <w:rsid w:val="00C80C03"/>
    <w:rsid w:val="00C84C71"/>
    <w:rsid w:val="00C93AAD"/>
    <w:rsid w:val="00CD1F50"/>
    <w:rsid w:val="00CD472E"/>
    <w:rsid w:val="00D15544"/>
    <w:rsid w:val="00DC4391"/>
    <w:rsid w:val="00DE2D1D"/>
    <w:rsid w:val="00E03C12"/>
    <w:rsid w:val="00E15FA9"/>
    <w:rsid w:val="00E25014"/>
    <w:rsid w:val="00E71FB3"/>
    <w:rsid w:val="00EB27E7"/>
    <w:rsid w:val="00F304AB"/>
    <w:rsid w:val="00F673CA"/>
    <w:rsid w:val="00F67F42"/>
    <w:rsid w:val="00F84BDE"/>
    <w:rsid w:val="00FA3D7B"/>
    <w:rsid w:val="00F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6D19C6"/>
  <w15:docId w15:val="{137C6CE8-5749-40CE-9CA5-910A6124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5A9"/>
    <w:pPr>
      <w:keepNext/>
      <w:keepLines/>
      <w:spacing w:before="120" w:after="120"/>
      <w:outlineLvl w:val="1"/>
    </w:pPr>
    <w:rPr>
      <w:rFonts w:eastAsia="Times New Roman" w:cs="Times New Roman"/>
      <w:b/>
      <w:bCs/>
      <w:color w:val="1F497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A9"/>
    <w:pPr>
      <w:spacing w:after="120"/>
      <w:ind w:left="720"/>
      <w:contextualSpacing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7615A9"/>
    <w:rPr>
      <w:rFonts w:ascii="Arial" w:eastAsia="Times New Roman" w:hAnsi="Arial" w:cs="Times New Roman"/>
      <w:b/>
      <w:bCs/>
      <w:color w:val="1F497D"/>
      <w:sz w:val="26"/>
      <w:szCs w:val="26"/>
    </w:rPr>
  </w:style>
  <w:style w:type="character" w:styleId="Hyperlink">
    <w:name w:val="Hyperlink"/>
    <w:basedOn w:val="DefaultParagraphFont"/>
    <w:uiPriority w:val="99"/>
    <w:rsid w:val="007615A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5A9"/>
    <w:pPr>
      <w:spacing w:after="120"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5A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5A9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15A9"/>
    <w:pPr>
      <w:spacing w:after="0" w:line="240" w:lineRule="auto"/>
    </w:pPr>
    <w:rPr>
      <w:rFonts w:ascii="Arial" w:eastAsia="Calibri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61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615"/>
    <w:rPr>
      <w:rFonts w:ascii="Arial" w:eastAsia="Calibri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2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E7"/>
  </w:style>
  <w:style w:type="paragraph" w:styleId="Footer">
    <w:name w:val="footer"/>
    <w:basedOn w:val="Normal"/>
    <w:link w:val="FooterChar"/>
    <w:uiPriority w:val="99"/>
    <w:unhideWhenUsed/>
    <w:rsid w:val="00EB2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E7"/>
  </w:style>
  <w:style w:type="character" w:styleId="FollowedHyperlink">
    <w:name w:val="FollowedHyperlink"/>
    <w:basedOn w:val="DefaultParagraphFont"/>
    <w:uiPriority w:val="99"/>
    <w:semiHidden/>
    <w:unhideWhenUsed/>
    <w:rsid w:val="00541C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5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550C38"/>
    <w:pPr>
      <w:spacing w:after="8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EBulletpointChar">
    <w:name w:val="PHE Bulletpoint Char"/>
    <w:basedOn w:val="DefaultParagraphFont"/>
    <w:link w:val="PHEBulletpoint"/>
    <w:locked/>
    <w:rsid w:val="00282904"/>
    <w:rPr>
      <w:rFonts w:ascii="Arial" w:hAnsi="Arial" w:cs="Arial"/>
    </w:rPr>
  </w:style>
  <w:style w:type="paragraph" w:customStyle="1" w:styleId="PHEBulletpoint">
    <w:name w:val="PHE Bulletpoint"/>
    <w:basedOn w:val="Normal"/>
    <w:link w:val="PHEBulletpointChar"/>
    <w:rsid w:val="00282904"/>
    <w:pPr>
      <w:numPr>
        <w:numId w:val="24"/>
      </w:numPr>
      <w:spacing w:after="0" w:line="320" w:lineRule="exact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69/evidence/full-guideline-pdf-196853293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gov.uk/government/publications/managing-common-infections-guidance-for-primary-car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nice.org.uk/guidance/cg69/evidence/full-guideline-196853293" TargetMode="External"/><Relationship Id="rId17" Type="http://schemas.openxmlformats.org/officeDocument/2006/relationships/hyperlink" Target="https://www.nice.org.uk/guidance/cg69/evidence/full-guideline-pdf-196853293" TargetMode="External"/><Relationship Id="rId2" Type="http://schemas.openxmlformats.org/officeDocument/2006/relationships/styles" Target="styles.xml"/><Relationship Id="rId16" Type="http://schemas.openxmlformats.org/officeDocument/2006/relationships/hyperlink" Target="http://cks.nice.org.uk/sinusiti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gid-apg10002/documents/consultation-docu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cgp.org.uk/clinical-and-research/toolkits/~/link.aspx?_id=9FCF9DA4B4A045519593320478DFD9E7&amp;_z=z" TargetMode="External"/><Relationship Id="rId10" Type="http://schemas.openxmlformats.org/officeDocument/2006/relationships/hyperlink" Target="http://www.ep3os.org/EPOS2012.pdf" TargetMode="External"/><Relationship Id="rId19" Type="http://schemas.openxmlformats.org/officeDocument/2006/relationships/hyperlink" Target="https://www.nice.org.uk/guidance/gid-apg10002/documents/consultation-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622637/Managing_common_infections.pdf" TargetMode="External"/><Relationship Id="rId14" Type="http://schemas.openxmlformats.org/officeDocument/2006/relationships/hyperlink" Target="http://www.rcgp.org.uk/clinical-and-research/toolkits/~/link.aspx?_id=9FCF9DA4B4A045519593320478DFD9E7&amp;_z=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Emily Cooper</cp:lastModifiedBy>
  <cp:revision>3</cp:revision>
  <cp:lastPrinted>2017-08-08T15:51:00Z</cp:lastPrinted>
  <dcterms:created xsi:type="dcterms:W3CDTF">2021-09-23T15:13:00Z</dcterms:created>
  <dcterms:modified xsi:type="dcterms:W3CDTF">2021-10-11T06:11:00Z</dcterms:modified>
</cp:coreProperties>
</file>