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2BDB" w14:textId="47F1027C" w:rsidR="00495758" w:rsidRDefault="00495758">
      <w:r>
        <w:rPr>
          <w:noProof/>
        </w:rPr>
        <w:drawing>
          <wp:anchor distT="0" distB="0" distL="114300" distR="114300" simplePos="0" relativeHeight="251658240" behindDoc="1" locked="0" layoutInCell="1" allowOverlap="1" wp14:anchorId="1B91C73B" wp14:editId="36E863AF">
            <wp:simplePos x="0" y="0"/>
            <wp:positionH relativeFrom="column">
              <wp:posOffset>5543454</wp:posOffset>
            </wp:positionH>
            <wp:positionV relativeFrom="paragraph">
              <wp:posOffset>-700405</wp:posOffset>
            </wp:positionV>
            <wp:extent cx="854710" cy="101346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10" cy="1013460"/>
                    </a:xfrm>
                    <a:prstGeom prst="rect">
                      <a:avLst/>
                    </a:prstGeom>
                  </pic:spPr>
                </pic:pic>
              </a:graphicData>
            </a:graphic>
          </wp:anchor>
        </w:drawing>
      </w:r>
      <w:r>
        <w:rPr>
          <w:noProof/>
        </w:rPr>
        <w:drawing>
          <wp:anchor distT="0" distB="0" distL="114300" distR="114300" simplePos="0" relativeHeight="251659264" behindDoc="1" locked="0" layoutInCell="1" allowOverlap="1" wp14:anchorId="3F6A5962" wp14:editId="2DB72135">
            <wp:simplePos x="0" y="0"/>
            <wp:positionH relativeFrom="column">
              <wp:posOffset>-694690</wp:posOffset>
            </wp:positionH>
            <wp:positionV relativeFrom="paragraph">
              <wp:posOffset>-700405</wp:posOffset>
            </wp:positionV>
            <wp:extent cx="1049245" cy="1010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245" cy="10101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4AEDA" w14:textId="77777777" w:rsidR="00495758" w:rsidRDefault="00495758"/>
    <w:p w14:paraId="1532B512" w14:textId="57B72E4E" w:rsidR="000A1794" w:rsidRPr="00495758" w:rsidRDefault="000D03B2">
      <w:pPr>
        <w:rPr>
          <w:b/>
          <w:bCs/>
          <w:color w:val="AF1E2C"/>
          <w:sz w:val="48"/>
          <w:szCs w:val="40"/>
        </w:rPr>
      </w:pPr>
      <w:r w:rsidRPr="00495758">
        <w:rPr>
          <w:b/>
          <w:bCs/>
          <w:color w:val="AF1E2C"/>
          <w:sz w:val="48"/>
          <w:szCs w:val="40"/>
        </w:rPr>
        <w:t xml:space="preserve">TARGET </w:t>
      </w:r>
      <w:r w:rsidR="003F1719">
        <w:rPr>
          <w:b/>
          <w:bCs/>
          <w:color w:val="AF1E2C"/>
          <w:sz w:val="48"/>
          <w:szCs w:val="40"/>
        </w:rPr>
        <w:t>Audit</w:t>
      </w:r>
      <w:r w:rsidRPr="00495758">
        <w:rPr>
          <w:b/>
          <w:bCs/>
          <w:color w:val="AF1E2C"/>
          <w:sz w:val="48"/>
          <w:szCs w:val="40"/>
        </w:rPr>
        <w:t xml:space="preserve"> webinar – </w:t>
      </w:r>
      <w:r w:rsidR="00BD1068">
        <w:rPr>
          <w:b/>
          <w:bCs/>
          <w:color w:val="AF1E2C"/>
          <w:sz w:val="48"/>
          <w:szCs w:val="40"/>
        </w:rPr>
        <w:t>Panel questions</w:t>
      </w:r>
    </w:p>
    <w:p w14:paraId="1A4D8790" w14:textId="51FF9913" w:rsidR="000D03B2" w:rsidRDefault="000D03B2"/>
    <w:p w14:paraId="55A045CB" w14:textId="03AF4B56" w:rsidR="00EF13BC" w:rsidRDefault="003D011D">
      <w:pPr>
        <w:rPr>
          <w:szCs w:val="24"/>
        </w:rPr>
      </w:pPr>
      <w:r>
        <w:rPr>
          <w:szCs w:val="24"/>
        </w:rPr>
        <w:t>The following document covers</w:t>
      </w:r>
      <w:r w:rsidR="00EF13BC" w:rsidRPr="003D011D">
        <w:rPr>
          <w:szCs w:val="24"/>
        </w:rPr>
        <w:t xml:space="preserve"> questions and answers </w:t>
      </w:r>
      <w:r w:rsidR="003F1719">
        <w:rPr>
          <w:szCs w:val="24"/>
        </w:rPr>
        <w:t>from</w:t>
      </w:r>
      <w:r w:rsidR="00EF13BC" w:rsidRPr="003D011D">
        <w:rPr>
          <w:szCs w:val="24"/>
        </w:rPr>
        <w:t xml:space="preserve"> the live webinar “</w:t>
      </w:r>
      <w:r w:rsidR="003F1719">
        <w:rPr>
          <w:szCs w:val="24"/>
        </w:rPr>
        <w:t>Audits as an antimicrobial stewardship tool</w:t>
      </w:r>
      <w:r w:rsidR="00FE20AA" w:rsidRPr="003D011D">
        <w:rPr>
          <w:szCs w:val="24"/>
        </w:rPr>
        <w:t xml:space="preserve">”. </w:t>
      </w:r>
    </w:p>
    <w:p w14:paraId="6B0AE875" w14:textId="237A0286" w:rsidR="003D011D" w:rsidRPr="003D011D" w:rsidRDefault="003D011D">
      <w:pPr>
        <w:rPr>
          <w:szCs w:val="24"/>
        </w:rPr>
      </w:pPr>
      <w:r>
        <w:rPr>
          <w:szCs w:val="24"/>
        </w:rPr>
        <w:t xml:space="preserve">Find the live webinar recording </w:t>
      </w:r>
      <w:hyperlink r:id="rId9" w:history="1">
        <w:r w:rsidRPr="003F1719">
          <w:rPr>
            <w:rStyle w:val="Hyperlink"/>
            <w:szCs w:val="24"/>
          </w:rPr>
          <w:t>here</w:t>
        </w:r>
      </w:hyperlink>
      <w:r w:rsidR="00496DD8">
        <w:rPr>
          <w:szCs w:val="24"/>
        </w:rPr>
        <w:t xml:space="preserve"> and the TARGET audit toolkits </w:t>
      </w:r>
      <w:hyperlink r:id="rId10" w:history="1">
        <w:r w:rsidR="00496DD8" w:rsidRPr="00496DD8">
          <w:rPr>
            <w:rStyle w:val="Hyperlink"/>
            <w:szCs w:val="24"/>
          </w:rPr>
          <w:t>here</w:t>
        </w:r>
      </w:hyperlink>
      <w:r w:rsidR="00496DD8">
        <w:rPr>
          <w:szCs w:val="24"/>
        </w:rPr>
        <w:t>.</w:t>
      </w:r>
    </w:p>
    <w:p w14:paraId="236C0DC0" w14:textId="068DDC1E" w:rsidR="00D52C8A" w:rsidRDefault="003D011D">
      <w:pPr>
        <w:rPr>
          <w:szCs w:val="24"/>
        </w:rPr>
      </w:pPr>
      <w:r w:rsidRPr="00702FAD">
        <w:rPr>
          <w:szCs w:val="24"/>
        </w:rPr>
        <w:t xml:space="preserve">Answers have been provided by a group of </w:t>
      </w:r>
      <w:r w:rsidR="00702FAD">
        <w:rPr>
          <w:szCs w:val="24"/>
        </w:rPr>
        <w:t>medicines optimisation pharmacists and public health researchers</w:t>
      </w:r>
      <w:r w:rsidRPr="00702FAD">
        <w:rPr>
          <w:szCs w:val="24"/>
        </w:rPr>
        <w:t>.</w:t>
      </w:r>
      <w:r w:rsidR="00BD1068">
        <w:rPr>
          <w:szCs w:val="24"/>
        </w:rPr>
        <w:t xml:space="preserve"> They do not </w:t>
      </w:r>
      <w:r w:rsidR="003C0B96">
        <w:rPr>
          <w:szCs w:val="24"/>
        </w:rPr>
        <w:t>reflect</w:t>
      </w:r>
      <w:r w:rsidR="00BD1068">
        <w:rPr>
          <w:szCs w:val="24"/>
        </w:rPr>
        <w:t xml:space="preserve"> the views of UK Health Security Agency (UKHSA) or the Royal College of General Practitioners (RCGP).</w:t>
      </w:r>
    </w:p>
    <w:p w14:paraId="39416A34" w14:textId="08E2D05D" w:rsidR="00D52C8A" w:rsidRDefault="00D52C8A" w:rsidP="00D52C8A">
      <w:r>
        <w:rPr>
          <w:szCs w:val="24"/>
        </w:rPr>
        <w:t xml:space="preserve">Audits can be </w:t>
      </w:r>
      <w:r w:rsidR="003C0B96">
        <w:rPr>
          <w:szCs w:val="24"/>
        </w:rPr>
        <w:t xml:space="preserve">carried out by </w:t>
      </w:r>
      <w:r w:rsidR="003C0B96">
        <w:t>general practitioners (</w:t>
      </w:r>
      <w:r w:rsidRPr="00134EC9">
        <w:t>GPs</w:t>
      </w:r>
      <w:r w:rsidR="003C0B96">
        <w:t>)</w:t>
      </w:r>
      <w:r w:rsidRPr="00134EC9">
        <w:t>, nurses</w:t>
      </w:r>
      <w:r w:rsidR="003C0B96">
        <w:t>, medicines optimisation teams</w:t>
      </w:r>
      <w:r w:rsidR="004C4449">
        <w:t xml:space="preserve"> </w:t>
      </w:r>
      <w:r>
        <w:t>and other healthcare clinicians</w:t>
      </w:r>
      <w:r w:rsidRPr="00134EC9">
        <w:t>.</w:t>
      </w:r>
      <w:r w:rsidR="004C4449">
        <w:t xml:space="preserve"> </w:t>
      </w:r>
      <w:r w:rsidR="00496DD8">
        <w:t>P</w:t>
      </w:r>
      <w:r w:rsidR="00496DD8" w:rsidRPr="00134EC9">
        <w:t xml:space="preserve">rimary care network pharmacy technicians </w:t>
      </w:r>
      <w:r w:rsidR="00496DD8">
        <w:t>and receptionists can support by pulling data from searches.</w:t>
      </w:r>
    </w:p>
    <w:p w14:paraId="7F767EC2" w14:textId="408222D5" w:rsidR="00EF13BC" w:rsidRPr="00D52C8A" w:rsidRDefault="00BD1068">
      <w:pPr>
        <w:rPr>
          <w:szCs w:val="24"/>
        </w:rPr>
      </w:pPr>
      <w:r w:rsidRPr="003D011D">
        <w:rPr>
          <w:szCs w:val="24"/>
        </w:rPr>
        <w:t xml:space="preserve"> </w:t>
      </w:r>
    </w:p>
    <w:p w14:paraId="799EE0D7" w14:textId="77777777" w:rsidR="003C0B96" w:rsidRDefault="003C0B96" w:rsidP="003C0B96">
      <w:pPr>
        <w:rPr>
          <w:b/>
          <w:bCs/>
          <w:color w:val="AF1E2C"/>
          <w:sz w:val="32"/>
          <w:szCs w:val="24"/>
        </w:rPr>
      </w:pPr>
      <w:r>
        <w:rPr>
          <w:b/>
          <w:bCs/>
          <w:color w:val="AF1E2C"/>
          <w:sz w:val="32"/>
          <w:szCs w:val="24"/>
        </w:rPr>
        <w:t>Whole practice approach</w:t>
      </w:r>
    </w:p>
    <w:p w14:paraId="5F2480DB" w14:textId="77777777" w:rsidR="003C0B96" w:rsidRDefault="003C0B96" w:rsidP="003C0B96">
      <w:pPr>
        <w:pStyle w:val="ListParagraph"/>
        <w:numPr>
          <w:ilvl w:val="0"/>
          <w:numId w:val="19"/>
        </w:numPr>
      </w:pPr>
      <w:r w:rsidRPr="00715B9C">
        <w:t xml:space="preserve">Why should </w:t>
      </w:r>
      <w:r>
        <w:t xml:space="preserve">a </w:t>
      </w:r>
      <w:r w:rsidRPr="00715B9C">
        <w:t xml:space="preserve">practice </w:t>
      </w:r>
      <w:r>
        <w:t>conduct an audit</w:t>
      </w:r>
      <w:r w:rsidRPr="00715B9C">
        <w:t xml:space="preserve"> if </w:t>
      </w:r>
      <w:r>
        <w:t xml:space="preserve">it’s </w:t>
      </w:r>
      <w:r w:rsidRPr="00715B9C">
        <w:t xml:space="preserve">already </w:t>
      </w:r>
      <w:r>
        <w:t>carried out</w:t>
      </w:r>
      <w:r w:rsidRPr="00715B9C">
        <w:t xml:space="preserve"> by med</w:t>
      </w:r>
      <w:r>
        <w:t>icines</w:t>
      </w:r>
      <w:r w:rsidRPr="00715B9C">
        <w:t xml:space="preserve"> op</w:t>
      </w:r>
      <w:r>
        <w:t>timisation</w:t>
      </w:r>
      <w:r w:rsidRPr="00715B9C">
        <w:t xml:space="preserve"> team</w:t>
      </w:r>
      <w:r>
        <w:t>s</w:t>
      </w:r>
      <w:r w:rsidRPr="00715B9C">
        <w:t>?</w:t>
      </w:r>
    </w:p>
    <w:p w14:paraId="16702901" w14:textId="620BD07B" w:rsidR="003C0B96" w:rsidRDefault="003C0B96" w:rsidP="003C0B96">
      <w:pPr>
        <w:ind w:left="1440"/>
      </w:pPr>
      <w:r>
        <w:t>The medicines optimisation team can support with conducting the audit, but a whole practice approach to audit</w:t>
      </w:r>
      <w:r w:rsidR="00434970">
        <w:t>ing</w:t>
      </w:r>
      <w:r>
        <w:t xml:space="preserve"> can have more of an impact in improving prescribing. </w:t>
      </w:r>
    </w:p>
    <w:p w14:paraId="67E1BDDD" w14:textId="45ECDF41" w:rsidR="003C0B96" w:rsidRDefault="00496DD8" w:rsidP="003C0B96">
      <w:pPr>
        <w:ind w:left="1440"/>
      </w:pPr>
      <w:r>
        <w:t>The practice team may</w:t>
      </w:r>
      <w:r w:rsidR="004560D9">
        <w:t xml:space="preserve"> be able to better</w:t>
      </w:r>
      <w:r>
        <w:t xml:space="preserve"> identify and understand some of the gaps in audit results specific to the practice e.g. protocol for collection of urine samples could be linked to higher antimicrobial prescribing for urinary tract infections. Prescribers conducting an audit can help them reflect on their own prescribing and practice. S</w:t>
      </w:r>
      <w:r w:rsidR="003C0B96">
        <w:t>ome practices prefer to conduct the audit themselves so as not to share access to patient data outside of the practice.</w:t>
      </w:r>
      <w:r>
        <w:t xml:space="preserve"> </w:t>
      </w:r>
    </w:p>
    <w:p w14:paraId="2B3DA5B1" w14:textId="77777777" w:rsidR="00434970" w:rsidRDefault="00434970" w:rsidP="003C0B96">
      <w:pPr>
        <w:ind w:left="1440"/>
      </w:pPr>
    </w:p>
    <w:p w14:paraId="0DC1962C" w14:textId="597F100E" w:rsidR="003C0B96" w:rsidRDefault="003C0B96" w:rsidP="003C0B96">
      <w:pPr>
        <w:pStyle w:val="ListParagraph"/>
        <w:numPr>
          <w:ilvl w:val="0"/>
          <w:numId w:val="19"/>
        </w:numPr>
      </w:pPr>
      <w:r>
        <w:t xml:space="preserve">Who other than GPs can support with carrying out audits? </w:t>
      </w:r>
    </w:p>
    <w:p w14:paraId="7A97DD26" w14:textId="354C9D76" w:rsidR="003C0B96" w:rsidRDefault="004560D9" w:rsidP="003C0B96">
      <w:pPr>
        <w:ind w:left="1440"/>
      </w:pPr>
      <w:r>
        <w:t xml:space="preserve">Administrative staff could support with running searches and exporting patient data. Clinical staff can input data into the audit, for example GPs, nurses, primary care network pharmacists and antimicrobial stewardship (AMS) leads. </w:t>
      </w:r>
      <w:r w:rsidR="00CC46F0">
        <w:t xml:space="preserve">Practice managers can arrange practice meetings where results of audits can be shared for reflection and </w:t>
      </w:r>
      <w:r w:rsidR="00CC46F0">
        <w:t>action planning</w:t>
      </w:r>
      <w:r w:rsidR="00CC46F0">
        <w:t>.</w:t>
      </w:r>
    </w:p>
    <w:p w14:paraId="759858F9" w14:textId="77777777" w:rsidR="003C0B96" w:rsidRPr="003C0B96" w:rsidRDefault="003C0B96" w:rsidP="003C0B96"/>
    <w:p w14:paraId="3A0CC3B3" w14:textId="31C9013F" w:rsidR="00BB31A0" w:rsidRPr="003F1719" w:rsidRDefault="00702FAD" w:rsidP="003F1719">
      <w:pPr>
        <w:rPr>
          <w:b/>
          <w:bCs/>
          <w:color w:val="AF1E2C"/>
          <w:sz w:val="32"/>
          <w:szCs w:val="24"/>
        </w:rPr>
      </w:pPr>
      <w:r>
        <w:rPr>
          <w:b/>
          <w:bCs/>
          <w:color w:val="AF1E2C"/>
          <w:sz w:val="32"/>
          <w:szCs w:val="24"/>
        </w:rPr>
        <w:lastRenderedPageBreak/>
        <w:t>Accessing prescribing data</w:t>
      </w:r>
    </w:p>
    <w:p w14:paraId="55C5F3BB" w14:textId="0119D62E" w:rsidR="00BB31A0" w:rsidRDefault="00715B9C" w:rsidP="003F1719">
      <w:pPr>
        <w:pStyle w:val="ListParagraph"/>
        <w:numPr>
          <w:ilvl w:val="0"/>
          <w:numId w:val="17"/>
        </w:numPr>
      </w:pPr>
      <w:r w:rsidRPr="00715B9C">
        <w:t xml:space="preserve">Is one database </w:t>
      </w:r>
      <w:r w:rsidR="004560D9">
        <w:t xml:space="preserve">for prescribing data </w:t>
      </w:r>
      <w:r w:rsidRPr="00715B9C">
        <w:t>better than another?</w:t>
      </w:r>
    </w:p>
    <w:p w14:paraId="731A9FDA" w14:textId="77777777" w:rsidR="00E571A2" w:rsidRDefault="004560D9" w:rsidP="004E3B96">
      <w:pPr>
        <w:ind w:left="1440"/>
      </w:pPr>
      <w:r>
        <w:t xml:space="preserve">Each individual has their own preference, and each database has its benefits. </w:t>
      </w:r>
    </w:p>
    <w:p w14:paraId="058ABC9C" w14:textId="73B36A76" w:rsidR="00E571A2" w:rsidRDefault="004E3B96" w:rsidP="00E571A2">
      <w:pPr>
        <w:pStyle w:val="ListParagraph"/>
        <w:numPr>
          <w:ilvl w:val="0"/>
          <w:numId w:val="20"/>
        </w:numPr>
      </w:pPr>
      <w:proofErr w:type="spellStart"/>
      <w:r>
        <w:t>PrescQIPP</w:t>
      </w:r>
      <w:proofErr w:type="spellEnd"/>
      <w:r w:rsidR="004560D9">
        <w:t xml:space="preserve"> can be used to look at area levels and it is useful for narrowing down data to lower </w:t>
      </w:r>
      <w:r w:rsidR="00CC46F0">
        <w:t xml:space="preserve">practice, Primary Care Network and old Clinical Commissioning Group </w:t>
      </w:r>
      <w:r w:rsidR="004560D9">
        <w:t xml:space="preserve">levels. </w:t>
      </w:r>
    </w:p>
    <w:p w14:paraId="39C5CC93" w14:textId="0A30A7EC" w:rsidR="00E571A2" w:rsidRDefault="004E3B96" w:rsidP="00E571A2">
      <w:pPr>
        <w:pStyle w:val="ListParagraph"/>
        <w:numPr>
          <w:ilvl w:val="0"/>
          <w:numId w:val="20"/>
        </w:numPr>
      </w:pPr>
      <w:r>
        <w:t xml:space="preserve">ePACT2 </w:t>
      </w:r>
      <w:r w:rsidR="004560D9">
        <w:t>c</w:t>
      </w:r>
      <w:r w:rsidR="00CC46F0">
        <w:t>an be used to look at prescriber level data. Its AMS dashboard data c</w:t>
      </w:r>
      <w:r w:rsidR="004560D9">
        <w:t>an be used</w:t>
      </w:r>
      <w:r>
        <w:t xml:space="preserve"> to </w:t>
      </w:r>
      <w:r w:rsidR="00CC46F0">
        <w:t xml:space="preserve">send regular updates to </w:t>
      </w:r>
      <w:r>
        <w:t xml:space="preserve">AMS leads </w:t>
      </w:r>
      <w:r w:rsidR="00CC46F0">
        <w:t>to support identification of trends and provision of feedback</w:t>
      </w:r>
      <w:r>
        <w:t xml:space="preserve">. </w:t>
      </w:r>
    </w:p>
    <w:p w14:paraId="19208F46" w14:textId="77777777" w:rsidR="00E571A2" w:rsidRDefault="004E3B96" w:rsidP="00E571A2">
      <w:pPr>
        <w:pStyle w:val="ListParagraph"/>
        <w:numPr>
          <w:ilvl w:val="0"/>
          <w:numId w:val="20"/>
        </w:numPr>
      </w:pPr>
      <w:r>
        <w:t xml:space="preserve">Fingertips has </w:t>
      </w:r>
      <w:r w:rsidR="004560D9">
        <w:t xml:space="preserve">data on antimicrobial </w:t>
      </w:r>
      <w:r>
        <w:t>resistance rates.</w:t>
      </w:r>
      <w:r w:rsidR="004560D9">
        <w:t xml:space="preserve"> </w:t>
      </w:r>
    </w:p>
    <w:p w14:paraId="53D56E02" w14:textId="25649CB2" w:rsidR="00702FAD" w:rsidRDefault="004E3B96" w:rsidP="00E571A2">
      <w:pPr>
        <w:pStyle w:val="ListParagraph"/>
        <w:numPr>
          <w:ilvl w:val="0"/>
          <w:numId w:val="20"/>
        </w:numPr>
      </w:pPr>
      <w:r>
        <w:t xml:space="preserve">Open Prescribing </w:t>
      </w:r>
      <w:r w:rsidR="004560D9">
        <w:t xml:space="preserve">enables users to look at different </w:t>
      </w:r>
      <w:r w:rsidR="00CC46F0">
        <w:t xml:space="preserve">AMS </w:t>
      </w:r>
      <w:r w:rsidR="004560D9">
        <w:t>measures</w:t>
      </w:r>
      <w:r>
        <w:t>.</w:t>
      </w:r>
    </w:p>
    <w:p w14:paraId="1CAA8526" w14:textId="77777777" w:rsidR="00E571A2" w:rsidRDefault="00E571A2" w:rsidP="00382EEC">
      <w:pPr>
        <w:pStyle w:val="ListParagraph"/>
        <w:ind w:left="2160"/>
      </w:pPr>
    </w:p>
    <w:p w14:paraId="797AC748" w14:textId="6869CDE3" w:rsidR="00702FAD" w:rsidRDefault="00702FAD" w:rsidP="00702FAD">
      <w:pPr>
        <w:pStyle w:val="ListParagraph"/>
        <w:numPr>
          <w:ilvl w:val="0"/>
          <w:numId w:val="17"/>
        </w:numPr>
      </w:pPr>
      <w:r>
        <w:t>Is prescriber level data available through the ePACT2 database?</w:t>
      </w:r>
    </w:p>
    <w:p w14:paraId="49932756" w14:textId="01E4769D" w:rsidR="00B5763D" w:rsidRDefault="00B5763D" w:rsidP="00B5763D">
      <w:pPr>
        <w:ind w:left="1440"/>
      </w:pPr>
      <w:r>
        <w:t xml:space="preserve">Prescriber level data can be accessed through </w:t>
      </w:r>
      <w:hyperlink r:id="rId11" w:history="1">
        <w:r w:rsidRPr="00B5763D">
          <w:rPr>
            <w:rStyle w:val="Hyperlink"/>
          </w:rPr>
          <w:t>ePACT2</w:t>
        </w:r>
      </w:hyperlink>
      <w:r>
        <w:t>, only for the area that you are authorised to access and for customised searches not dashboards.</w:t>
      </w:r>
    </w:p>
    <w:p w14:paraId="4183FA38" w14:textId="026D9D1E" w:rsidR="00702FAD" w:rsidRDefault="00702FAD" w:rsidP="00702FAD">
      <w:pPr>
        <w:pStyle w:val="ListParagraph"/>
        <w:numPr>
          <w:ilvl w:val="0"/>
          <w:numId w:val="17"/>
        </w:numPr>
      </w:pPr>
      <w:r w:rsidRPr="0041159F">
        <w:t>You mention</w:t>
      </w:r>
      <w:r w:rsidR="003621A3">
        <w:t>ed inappropriate antibiotic prescribing</w:t>
      </w:r>
      <w:r w:rsidRPr="0041159F">
        <w:t xml:space="preserve"> in primary care. What percentage of antibiotics </w:t>
      </w:r>
      <w:r>
        <w:t xml:space="preserve">prescribed in </w:t>
      </w:r>
      <w:r w:rsidRPr="0041159F">
        <w:t xml:space="preserve">secondary care are </w:t>
      </w:r>
      <w:r>
        <w:t>un</w:t>
      </w:r>
      <w:r w:rsidRPr="0041159F">
        <w:t>necessary</w:t>
      </w:r>
      <w:r>
        <w:t>?</w:t>
      </w:r>
    </w:p>
    <w:p w14:paraId="7FFB1F96" w14:textId="231BFB7F" w:rsidR="00134EC9" w:rsidRDefault="00134EC9" w:rsidP="00134EC9">
      <w:pPr>
        <w:ind w:left="1440"/>
      </w:pPr>
      <w:r w:rsidRPr="00134EC9">
        <w:t xml:space="preserve">TARGET focuses on antibiotic prescribing in primary care. Secondary care prescribing data can be viewed in the annual </w:t>
      </w:r>
      <w:hyperlink r:id="rId12" w:history="1">
        <w:r w:rsidRPr="00134EC9">
          <w:rPr>
            <w:rStyle w:val="Hyperlink"/>
          </w:rPr>
          <w:t>English surveillance programme for antimicrobial utilisation and resistance (ESPAUR) report</w:t>
        </w:r>
      </w:hyperlink>
      <w:r>
        <w:t>.</w:t>
      </w:r>
    </w:p>
    <w:p w14:paraId="4F71C807" w14:textId="77777777" w:rsidR="00702FAD" w:rsidRPr="00702FAD" w:rsidRDefault="00702FAD" w:rsidP="00702FAD"/>
    <w:p w14:paraId="4D8E1B75" w14:textId="1B46063B" w:rsidR="00702FAD" w:rsidRPr="00702FAD" w:rsidRDefault="00702FAD" w:rsidP="00702FAD">
      <w:pPr>
        <w:rPr>
          <w:b/>
          <w:bCs/>
          <w:color w:val="AF1E2C"/>
          <w:sz w:val="32"/>
          <w:szCs w:val="24"/>
        </w:rPr>
      </w:pPr>
      <w:r>
        <w:rPr>
          <w:b/>
          <w:bCs/>
          <w:color w:val="AF1E2C"/>
          <w:sz w:val="32"/>
          <w:szCs w:val="24"/>
        </w:rPr>
        <w:t>Audit resources</w:t>
      </w:r>
      <w:r w:rsidR="004E3B96">
        <w:rPr>
          <w:b/>
          <w:bCs/>
          <w:color w:val="AF1E2C"/>
          <w:sz w:val="32"/>
          <w:szCs w:val="24"/>
        </w:rPr>
        <w:t xml:space="preserve"> and practical tips</w:t>
      </w:r>
    </w:p>
    <w:p w14:paraId="2FD84363" w14:textId="726597BF" w:rsidR="00715B9C" w:rsidRDefault="00E96415" w:rsidP="00702FAD">
      <w:pPr>
        <w:pStyle w:val="ListParagraph"/>
        <w:numPr>
          <w:ilvl w:val="0"/>
          <w:numId w:val="18"/>
        </w:numPr>
      </w:pPr>
      <w:r w:rsidRPr="00382EEC">
        <w:rPr>
          <w:b/>
          <w:bCs/>
        </w:rPr>
        <w:t>GP PRACTICE</w:t>
      </w:r>
      <w:r w:rsidR="00382EEC">
        <w:rPr>
          <w:b/>
          <w:bCs/>
        </w:rPr>
        <w:t xml:space="preserve">: </w:t>
      </w:r>
      <w:r w:rsidR="00715B9C" w:rsidRPr="00715B9C">
        <w:t>I'</w:t>
      </w:r>
      <w:r w:rsidR="00715B9C" w:rsidRPr="00715B9C">
        <w:t xml:space="preserve">d like to start audits in my surgery, but we are very busy like so many </w:t>
      </w:r>
      <w:r w:rsidR="00715B9C">
        <w:t>others</w:t>
      </w:r>
      <w:r w:rsidR="00715B9C" w:rsidRPr="00715B9C">
        <w:t>. Any tips on where to start?</w:t>
      </w:r>
    </w:p>
    <w:p w14:paraId="7228FE59" w14:textId="41D3770B" w:rsidR="004E3B96" w:rsidRDefault="00D56E34" w:rsidP="004E3B96">
      <w:pPr>
        <w:ind w:left="1440"/>
      </w:pPr>
      <w:r>
        <w:t>It can be useful to focus on a particular issue or area of concern e.g. UTIs. Then g</w:t>
      </w:r>
      <w:r w:rsidR="004E3B96">
        <w:t xml:space="preserve">et everyone involved, </w:t>
      </w:r>
      <w:r>
        <w:t xml:space="preserve">including </w:t>
      </w:r>
      <w:r w:rsidR="004E3B96">
        <w:t xml:space="preserve">prescribers, </w:t>
      </w:r>
      <w:r>
        <w:t xml:space="preserve">the </w:t>
      </w:r>
      <w:r w:rsidR="004E3B96">
        <w:t>admin</w:t>
      </w:r>
      <w:r>
        <w:t>istrative</w:t>
      </w:r>
      <w:r w:rsidR="004E3B96">
        <w:t xml:space="preserve"> team</w:t>
      </w:r>
      <w:r>
        <w:t xml:space="preserve"> and the </w:t>
      </w:r>
      <w:r w:rsidR="004E3B96">
        <w:t xml:space="preserve">practice manager. </w:t>
      </w:r>
      <w:r>
        <w:t>The medicines optimisation team can support</w:t>
      </w:r>
      <w:r w:rsidR="004E3B96">
        <w:t xml:space="preserve"> but</w:t>
      </w:r>
      <w:r>
        <w:t xml:space="preserve"> the</w:t>
      </w:r>
      <w:r w:rsidR="004E3B96">
        <w:t xml:space="preserve"> practice </w:t>
      </w:r>
      <w:r>
        <w:t>should</w:t>
      </w:r>
      <w:r w:rsidR="004E3B96">
        <w:t xml:space="preserve"> own it</w:t>
      </w:r>
      <w:r w:rsidR="00B5763D">
        <w:t>.</w:t>
      </w:r>
    </w:p>
    <w:p w14:paraId="2F5876CE" w14:textId="6FFEB2EF" w:rsidR="00B5763D" w:rsidRDefault="00B5763D" w:rsidP="00B5763D">
      <w:pPr>
        <w:ind w:left="1440"/>
      </w:pPr>
      <w:r>
        <w:t xml:space="preserve">The TARGET audit toolkits are free to download </w:t>
      </w:r>
      <w:hyperlink r:id="rId13" w:history="1">
        <w:r w:rsidRPr="00B5763D">
          <w:rPr>
            <w:rStyle w:val="Hyperlink"/>
          </w:rPr>
          <w:t>here</w:t>
        </w:r>
      </w:hyperlink>
      <w:r>
        <w:t xml:space="preserve"> and include audits for 4C broad spectrum antibiotics, </w:t>
      </w:r>
      <w:r w:rsidR="00D56E34">
        <w:t>UTI</w:t>
      </w:r>
      <w:r>
        <w:t>s and respiratory tract infections. The</w:t>
      </w:r>
      <w:r w:rsidR="00434970">
        <w:t xml:space="preserve"> templates</w:t>
      </w:r>
      <w:r>
        <w:t xml:space="preserve"> each include step-by-step instructions to make the process as easy as possible and are available in Word and Excel format with auto-calculations.</w:t>
      </w:r>
    </w:p>
    <w:p w14:paraId="1E4F592D" w14:textId="35F6CD78" w:rsidR="00715B9C" w:rsidRDefault="00E96415" w:rsidP="00702FAD">
      <w:pPr>
        <w:pStyle w:val="ListParagraph"/>
        <w:numPr>
          <w:ilvl w:val="0"/>
          <w:numId w:val="18"/>
        </w:numPr>
      </w:pPr>
      <w:r w:rsidRPr="00382EEC">
        <w:rPr>
          <w:b/>
          <w:bCs/>
        </w:rPr>
        <w:t>OUT of HOURS</w:t>
      </w:r>
      <w:r w:rsidR="00382EEC">
        <w:rPr>
          <w:b/>
          <w:bCs/>
        </w:rPr>
        <w:t xml:space="preserve">: </w:t>
      </w:r>
      <w:r w:rsidR="00715B9C" w:rsidRPr="00715B9C">
        <w:t xml:space="preserve">I work on a self-employed basis within the local </w:t>
      </w:r>
      <w:r w:rsidR="00715B9C">
        <w:t xml:space="preserve">out of hours GP </w:t>
      </w:r>
      <w:r w:rsidR="00715B9C" w:rsidRPr="00715B9C">
        <w:t xml:space="preserve">provider. </w:t>
      </w:r>
      <w:r w:rsidR="00715B9C">
        <w:t>We see many upper respiratory tract infections</w:t>
      </w:r>
      <w:r w:rsidR="00B5763D">
        <w:t xml:space="preserve"> (RTIs)</w:t>
      </w:r>
      <w:r w:rsidR="00715B9C">
        <w:t xml:space="preserve"> and </w:t>
      </w:r>
      <w:r w:rsidR="00B5763D">
        <w:t>UTIs</w:t>
      </w:r>
      <w:r w:rsidR="00715B9C">
        <w:t>. What is the best audit tool for me to use?</w:t>
      </w:r>
    </w:p>
    <w:p w14:paraId="2071F8CB" w14:textId="7B3C58CB" w:rsidR="00B5763D" w:rsidRDefault="00B5763D" w:rsidP="00B5763D">
      <w:pPr>
        <w:ind w:left="1440"/>
      </w:pPr>
      <w:r>
        <w:lastRenderedPageBreak/>
        <w:t xml:space="preserve">The </w:t>
      </w:r>
      <w:r w:rsidRPr="00B5763D">
        <w:t>TARGET RTI and UTI audit toolkits are available</w:t>
      </w:r>
      <w:r>
        <w:t xml:space="preserve"> to download for free</w:t>
      </w:r>
      <w:r w:rsidRPr="00B5763D">
        <w:t xml:space="preserve"> </w:t>
      </w:r>
      <w:hyperlink r:id="rId14" w:history="1">
        <w:r w:rsidRPr="00B5763D">
          <w:rPr>
            <w:rStyle w:val="Hyperlink"/>
          </w:rPr>
          <w:t>here</w:t>
        </w:r>
      </w:hyperlink>
      <w:r>
        <w:t>.</w:t>
      </w:r>
      <w:r w:rsidR="003C0B96">
        <w:t xml:space="preserve"> </w:t>
      </w:r>
      <w:r w:rsidR="00D56E34">
        <w:t xml:space="preserve">RTI toolkits include acute otitis media, cough, rhinosinusitis and sore throat. UTI toolkits include uncomplicated UTI, UTI audit for catheterised patients and audit for non-catheterised patients over 65 years old. </w:t>
      </w:r>
    </w:p>
    <w:p w14:paraId="17EA7EB3" w14:textId="195C4C44" w:rsidR="00D56E34" w:rsidRDefault="00E96415" w:rsidP="00702FAD">
      <w:pPr>
        <w:pStyle w:val="ListParagraph"/>
        <w:numPr>
          <w:ilvl w:val="0"/>
          <w:numId w:val="18"/>
        </w:numPr>
      </w:pPr>
      <w:r w:rsidRPr="00382EEC">
        <w:rPr>
          <w:b/>
          <w:bCs/>
        </w:rPr>
        <w:t>C</w:t>
      </w:r>
      <w:r w:rsidR="00382EEC">
        <w:rPr>
          <w:b/>
          <w:bCs/>
        </w:rPr>
        <w:t>LINICAL ASSESSMENT SERVICE</w:t>
      </w:r>
      <w:r w:rsidRPr="00382EEC">
        <w:rPr>
          <w:b/>
          <w:bCs/>
        </w:rPr>
        <w:t xml:space="preserve"> /NHS 111</w:t>
      </w:r>
      <w:r w:rsidR="00382EEC">
        <w:rPr>
          <w:b/>
          <w:bCs/>
        </w:rPr>
        <w:t xml:space="preserve">: </w:t>
      </w:r>
      <w:r w:rsidR="00D56E34">
        <w:t xml:space="preserve">Are there any TARGET audits you can recommend for us in clinical assessment service or NHS 111 settings with remote telephone triage? </w:t>
      </w:r>
    </w:p>
    <w:p w14:paraId="42D290E0" w14:textId="169B750B" w:rsidR="00D56E34" w:rsidRDefault="00D56E34" w:rsidP="00D56E34">
      <w:pPr>
        <w:ind w:left="1440"/>
      </w:pPr>
      <w:r>
        <w:t xml:space="preserve">The TARGET audit toolkits </w:t>
      </w:r>
      <w:r w:rsidR="00434970">
        <w:t>were developed for primary care settings</w:t>
      </w:r>
      <w:r w:rsidR="00382EEC">
        <w:t>,</w:t>
      </w:r>
      <w:r w:rsidR="00434970">
        <w:t xml:space="preserve"> however they </w:t>
      </w:r>
      <w:r>
        <w:t xml:space="preserve">are available in Word format if you wish to adapt for your setting. Please specify in the footer that the version has been adapted. Contact </w:t>
      </w:r>
      <w:hyperlink r:id="rId15" w:history="1">
        <w:r w:rsidRPr="00B97CE0">
          <w:rPr>
            <w:rStyle w:val="Hyperlink"/>
          </w:rPr>
          <w:t>TARGETAntibiotics@ukhsa.gov.uk</w:t>
        </w:r>
      </w:hyperlink>
      <w:r>
        <w:t xml:space="preserve"> if you require any support. </w:t>
      </w:r>
    </w:p>
    <w:p w14:paraId="12C11D6A" w14:textId="1A0B6947" w:rsidR="00715B9C" w:rsidRDefault="00715B9C" w:rsidP="00702FAD">
      <w:pPr>
        <w:pStyle w:val="ListParagraph"/>
        <w:numPr>
          <w:ilvl w:val="0"/>
          <w:numId w:val="18"/>
        </w:numPr>
      </w:pPr>
      <w:r w:rsidRPr="00715B9C">
        <w:t xml:space="preserve">Can </w:t>
      </w:r>
      <w:r>
        <w:t xml:space="preserve">TARGET </w:t>
      </w:r>
      <w:r w:rsidRPr="00715B9C">
        <w:t>tools help with other prescribing e</w:t>
      </w:r>
      <w:r>
        <w:t>.</w:t>
      </w:r>
      <w:r w:rsidRPr="00715B9C">
        <w:t>g. diabetes</w:t>
      </w:r>
      <w:r>
        <w:t>, asthma medication,</w:t>
      </w:r>
      <w:r w:rsidRPr="00715B9C">
        <w:t xml:space="preserve"> opioid prescribing?</w:t>
      </w:r>
    </w:p>
    <w:p w14:paraId="62089758" w14:textId="6B287799" w:rsidR="00B5763D" w:rsidRDefault="00B5763D" w:rsidP="00B5763D">
      <w:pPr>
        <w:ind w:left="1440"/>
      </w:pPr>
      <w:r>
        <w:t xml:space="preserve">The </w:t>
      </w:r>
      <w:r w:rsidRPr="00B5763D">
        <w:t xml:space="preserve">TARGET </w:t>
      </w:r>
      <w:r>
        <w:t xml:space="preserve">Toolkit </w:t>
      </w:r>
      <w:r w:rsidRPr="00B5763D">
        <w:t xml:space="preserve">resources </w:t>
      </w:r>
      <w:r w:rsidR="00BD1068">
        <w:t xml:space="preserve">aim to improve management of common infections presenting in primary care, targeting antibiotic use and </w:t>
      </w:r>
      <w:r w:rsidR="00D56E34">
        <w:t>AMS</w:t>
      </w:r>
      <w:r w:rsidR="00BD1068">
        <w:t xml:space="preserve"> activities</w:t>
      </w:r>
      <w:r w:rsidRPr="00B5763D">
        <w:t>.</w:t>
      </w:r>
      <w:r w:rsidR="00BD1068">
        <w:t xml:space="preserve"> As the tools have been aligned to guidelines for specific common infections, they are appropriate for these infections.</w:t>
      </w:r>
    </w:p>
    <w:p w14:paraId="03E477AD" w14:textId="51DD3E47" w:rsidR="00715B9C" w:rsidRDefault="00715B9C" w:rsidP="00702FAD">
      <w:pPr>
        <w:pStyle w:val="ListParagraph"/>
        <w:numPr>
          <w:ilvl w:val="0"/>
          <w:numId w:val="18"/>
        </w:numPr>
      </w:pPr>
      <w:r w:rsidRPr="00715B9C">
        <w:t xml:space="preserve">Are the TARGET </w:t>
      </w:r>
      <w:r>
        <w:t xml:space="preserve">Toolkit </w:t>
      </w:r>
      <w:r w:rsidRPr="00715B9C">
        <w:t>resources linked to practice systems for easier access for prescribers?</w:t>
      </w:r>
    </w:p>
    <w:p w14:paraId="67AEE67D" w14:textId="08927081" w:rsidR="003C0B96" w:rsidRDefault="00CC46F0" w:rsidP="003C0B96">
      <w:pPr>
        <w:ind w:left="1440"/>
      </w:pPr>
      <w:hyperlink r:id="rId16" w:history="1">
        <w:r w:rsidR="00BD1068" w:rsidRPr="00D56E34">
          <w:rPr>
            <w:rStyle w:val="Hyperlink"/>
          </w:rPr>
          <w:t>TARGET leaflets</w:t>
        </w:r>
      </w:hyperlink>
      <w:r w:rsidR="00D52C8A">
        <w:t xml:space="preserve"> are available in Microsoft Word and PDF formats and</w:t>
      </w:r>
      <w:r w:rsidR="00BD1068">
        <w:t xml:space="preserve"> can be embedded in practice systems such as EMIS and </w:t>
      </w:r>
      <w:proofErr w:type="spellStart"/>
      <w:r w:rsidR="00BD1068">
        <w:t>SystmOne</w:t>
      </w:r>
      <w:proofErr w:type="spellEnd"/>
      <w:r w:rsidR="00BD1068">
        <w:t>.</w:t>
      </w:r>
      <w:r w:rsidR="00D52C8A">
        <w:t xml:space="preserve"> TARGET leaflets can be shared with patients using SMS message templates on AccuRx. </w:t>
      </w:r>
    </w:p>
    <w:p w14:paraId="6BF9C528" w14:textId="77777777" w:rsidR="004E3B96" w:rsidRDefault="004E3B96" w:rsidP="004E3B96"/>
    <w:p w14:paraId="69CD2FBB" w14:textId="77777777" w:rsidR="004E3B96" w:rsidRDefault="004E3B96" w:rsidP="004E3B96"/>
    <w:p w14:paraId="2E3CA21D" w14:textId="7C3BF55B" w:rsidR="00BB31A0" w:rsidRDefault="00BB31A0" w:rsidP="00BB31A0"/>
    <w:p w14:paraId="15B29CC6" w14:textId="45430F9F" w:rsidR="00495758" w:rsidRDefault="00495758" w:rsidP="00BB31A0"/>
    <w:sectPr w:rsidR="0049575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ED8E" w14:textId="77777777" w:rsidR="00972443" w:rsidRDefault="00972443" w:rsidP="00495758">
      <w:pPr>
        <w:spacing w:after="0" w:line="240" w:lineRule="auto"/>
      </w:pPr>
      <w:r>
        <w:separator/>
      </w:r>
    </w:p>
  </w:endnote>
  <w:endnote w:type="continuationSeparator" w:id="0">
    <w:p w14:paraId="4135D8D3" w14:textId="77777777" w:rsidR="00972443" w:rsidRDefault="00972443" w:rsidP="0049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9B7" w14:textId="7CBF6058" w:rsidR="00521950" w:rsidRPr="0041159F" w:rsidRDefault="0041159F" w:rsidP="0041159F">
    <w:pPr>
      <w:spacing w:before="34"/>
      <w:ind w:left="20"/>
      <w:rPr>
        <w:sz w:val="20"/>
      </w:rPr>
    </w:pPr>
    <w:r w:rsidRPr="0041159F">
      <w:rPr>
        <w:sz w:val="20"/>
      </w:rPr>
      <w:t xml:space="preserve">TARGET is operated by the UK Health Security Agency. Developed in collaboration with professional medical bodies. Version 1. Published: </w:t>
    </w:r>
    <w:r w:rsidR="0008494D">
      <w:rPr>
        <w:sz w:val="20"/>
      </w:rPr>
      <w:t>August</w:t>
    </w:r>
    <w:r w:rsidRPr="0041159F">
      <w:rPr>
        <w:sz w:val="20"/>
      </w:rPr>
      <w:t xml:space="preserve"> 2023</w:t>
    </w:r>
    <w:r>
      <w:rPr>
        <w:sz w:val="20"/>
      </w:rPr>
      <w:t xml:space="preserve"> </w:t>
    </w:r>
    <w:r w:rsidRPr="0041159F">
      <w:rPr>
        <w:sz w:val="20"/>
      </w:rPr>
      <w:t xml:space="preserve">Review: </w:t>
    </w:r>
    <w:r w:rsidR="0008494D">
      <w:rPr>
        <w:sz w:val="20"/>
      </w:rPr>
      <w:t>August</w:t>
    </w:r>
    <w:r w:rsidRPr="0041159F">
      <w:rPr>
        <w:sz w:val="20"/>
      </w:rPr>
      <w:t xml:space="preserve"> 202</w:t>
    </w:r>
    <w:r w:rsidR="00D52C8A">
      <w:rPr>
        <w:sz w:val="20"/>
      </w:rPr>
      <w:t>8</w:t>
    </w:r>
    <w:r w:rsidRPr="0041159F">
      <w:rPr>
        <w:sz w:val="20"/>
      </w:rPr>
      <w:t>.  KAW18-07 ©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4399" w14:textId="77777777" w:rsidR="00972443" w:rsidRDefault="00972443" w:rsidP="00495758">
      <w:pPr>
        <w:spacing w:after="0" w:line="240" w:lineRule="auto"/>
      </w:pPr>
      <w:r>
        <w:separator/>
      </w:r>
    </w:p>
  </w:footnote>
  <w:footnote w:type="continuationSeparator" w:id="0">
    <w:p w14:paraId="0A50EC24" w14:textId="77777777" w:rsidR="00972443" w:rsidRDefault="00972443" w:rsidP="0049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186"/>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8E3D95"/>
    <w:multiLevelType w:val="hybridMultilevel"/>
    <w:tmpl w:val="91C82CC2"/>
    <w:lvl w:ilvl="0" w:tplc="2730B9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D04C1"/>
    <w:multiLevelType w:val="hybridMultilevel"/>
    <w:tmpl w:val="F2F68C5A"/>
    <w:lvl w:ilvl="0" w:tplc="2376DE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B2980"/>
    <w:multiLevelType w:val="hybridMultilevel"/>
    <w:tmpl w:val="EC5AC0AE"/>
    <w:lvl w:ilvl="0" w:tplc="0EDA00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1B2FCD"/>
    <w:multiLevelType w:val="hybridMultilevel"/>
    <w:tmpl w:val="9E3CF166"/>
    <w:lvl w:ilvl="0" w:tplc="84D0960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7B6A8A"/>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8B302B"/>
    <w:multiLevelType w:val="hybridMultilevel"/>
    <w:tmpl w:val="507AE036"/>
    <w:lvl w:ilvl="0" w:tplc="7CCAF0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AD1234"/>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27B6760"/>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1DC4921"/>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4385DC3"/>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B4442D0"/>
    <w:multiLevelType w:val="hybridMultilevel"/>
    <w:tmpl w:val="B1E2C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9567362"/>
    <w:multiLevelType w:val="hybridMultilevel"/>
    <w:tmpl w:val="E52A11A4"/>
    <w:lvl w:ilvl="0" w:tplc="2730B9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1E4B2A"/>
    <w:multiLevelType w:val="hybridMultilevel"/>
    <w:tmpl w:val="7F2E8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A4541F"/>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12B7092"/>
    <w:multiLevelType w:val="hybridMultilevel"/>
    <w:tmpl w:val="7F2E8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B5CEB"/>
    <w:multiLevelType w:val="hybridMultilevel"/>
    <w:tmpl w:val="7F2E8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8A4969"/>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AD11AA7"/>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603E58"/>
    <w:multiLevelType w:val="hybridMultilevel"/>
    <w:tmpl w:val="0F7C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499767">
    <w:abstractNumId w:val="19"/>
  </w:num>
  <w:num w:numId="2" w16cid:durableId="182865377">
    <w:abstractNumId w:val="2"/>
  </w:num>
  <w:num w:numId="3" w16cid:durableId="678850457">
    <w:abstractNumId w:val="3"/>
  </w:num>
  <w:num w:numId="4" w16cid:durableId="1135680497">
    <w:abstractNumId w:val="6"/>
  </w:num>
  <w:num w:numId="5" w16cid:durableId="531769980">
    <w:abstractNumId w:val="4"/>
  </w:num>
  <w:num w:numId="6" w16cid:durableId="1016611190">
    <w:abstractNumId w:val="12"/>
  </w:num>
  <w:num w:numId="7" w16cid:durableId="2114012629">
    <w:abstractNumId w:val="17"/>
  </w:num>
  <w:num w:numId="8" w16cid:durableId="1512791767">
    <w:abstractNumId w:val="10"/>
  </w:num>
  <w:num w:numId="9" w16cid:durableId="423961842">
    <w:abstractNumId w:val="5"/>
  </w:num>
  <w:num w:numId="10" w16cid:durableId="1612274251">
    <w:abstractNumId w:val="9"/>
  </w:num>
  <w:num w:numId="11" w16cid:durableId="364865175">
    <w:abstractNumId w:val="0"/>
  </w:num>
  <w:num w:numId="12" w16cid:durableId="1631740627">
    <w:abstractNumId w:val="18"/>
  </w:num>
  <w:num w:numId="13" w16cid:durableId="1944067260">
    <w:abstractNumId w:val="8"/>
  </w:num>
  <w:num w:numId="14" w16cid:durableId="428744375">
    <w:abstractNumId w:val="14"/>
  </w:num>
  <w:num w:numId="15" w16cid:durableId="281963529">
    <w:abstractNumId w:val="7"/>
  </w:num>
  <w:num w:numId="16" w16cid:durableId="254171941">
    <w:abstractNumId w:val="1"/>
  </w:num>
  <w:num w:numId="17" w16cid:durableId="77412897">
    <w:abstractNumId w:val="15"/>
  </w:num>
  <w:num w:numId="18" w16cid:durableId="1321809554">
    <w:abstractNumId w:val="13"/>
  </w:num>
  <w:num w:numId="19" w16cid:durableId="1890338945">
    <w:abstractNumId w:val="16"/>
  </w:num>
  <w:num w:numId="20" w16cid:durableId="503014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B2"/>
    <w:rsid w:val="0008494D"/>
    <w:rsid w:val="000A1794"/>
    <w:rsid w:val="000C52AB"/>
    <w:rsid w:val="000D03B2"/>
    <w:rsid w:val="000F60D7"/>
    <w:rsid w:val="000F77E3"/>
    <w:rsid w:val="00134EC9"/>
    <w:rsid w:val="0016434A"/>
    <w:rsid w:val="001815B4"/>
    <w:rsid w:val="001E189C"/>
    <w:rsid w:val="002B26C3"/>
    <w:rsid w:val="002C4C6B"/>
    <w:rsid w:val="003621A3"/>
    <w:rsid w:val="003810B6"/>
    <w:rsid w:val="00382EEC"/>
    <w:rsid w:val="003C0B96"/>
    <w:rsid w:val="003D011D"/>
    <w:rsid w:val="003F1719"/>
    <w:rsid w:val="00401145"/>
    <w:rsid w:val="0041159F"/>
    <w:rsid w:val="00434970"/>
    <w:rsid w:val="00444DE7"/>
    <w:rsid w:val="004560D9"/>
    <w:rsid w:val="00495758"/>
    <w:rsid w:val="00496DD8"/>
    <w:rsid w:val="004C4449"/>
    <w:rsid w:val="004E3B96"/>
    <w:rsid w:val="004E553A"/>
    <w:rsid w:val="004F16C0"/>
    <w:rsid w:val="00515D15"/>
    <w:rsid w:val="00521950"/>
    <w:rsid w:val="0054243C"/>
    <w:rsid w:val="005A228B"/>
    <w:rsid w:val="006A081D"/>
    <w:rsid w:val="006F615B"/>
    <w:rsid w:val="00702FAD"/>
    <w:rsid w:val="00711C3E"/>
    <w:rsid w:val="00715B9C"/>
    <w:rsid w:val="00785EFC"/>
    <w:rsid w:val="007E4CF0"/>
    <w:rsid w:val="0089091B"/>
    <w:rsid w:val="00950FAC"/>
    <w:rsid w:val="00972443"/>
    <w:rsid w:val="009A668D"/>
    <w:rsid w:val="009E2209"/>
    <w:rsid w:val="00A11BC6"/>
    <w:rsid w:val="00A12A4C"/>
    <w:rsid w:val="00A4792B"/>
    <w:rsid w:val="00AB2159"/>
    <w:rsid w:val="00B31A7A"/>
    <w:rsid w:val="00B4464B"/>
    <w:rsid w:val="00B56965"/>
    <w:rsid w:val="00B5763D"/>
    <w:rsid w:val="00BB31A0"/>
    <w:rsid w:val="00BD1068"/>
    <w:rsid w:val="00BE3DE4"/>
    <w:rsid w:val="00C22BE7"/>
    <w:rsid w:val="00C52B6F"/>
    <w:rsid w:val="00C6063F"/>
    <w:rsid w:val="00C860BB"/>
    <w:rsid w:val="00C868BB"/>
    <w:rsid w:val="00CC46F0"/>
    <w:rsid w:val="00D35E33"/>
    <w:rsid w:val="00D439B4"/>
    <w:rsid w:val="00D52C8A"/>
    <w:rsid w:val="00D53E75"/>
    <w:rsid w:val="00D56E34"/>
    <w:rsid w:val="00D96CAE"/>
    <w:rsid w:val="00DF1592"/>
    <w:rsid w:val="00E407E6"/>
    <w:rsid w:val="00E571A2"/>
    <w:rsid w:val="00E768D2"/>
    <w:rsid w:val="00E96415"/>
    <w:rsid w:val="00EF13BC"/>
    <w:rsid w:val="00F11BA0"/>
    <w:rsid w:val="00FE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4A7C"/>
  <w15:docId w15:val="{3722E9AE-69A3-4CD8-81AA-4762160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2"/>
    <w:pPr>
      <w:ind w:left="720"/>
      <w:contextualSpacing/>
    </w:pPr>
  </w:style>
  <w:style w:type="character" w:styleId="Emphasis">
    <w:name w:val="Emphasis"/>
    <w:basedOn w:val="DefaultParagraphFont"/>
    <w:uiPriority w:val="20"/>
    <w:qFormat/>
    <w:rsid w:val="00BB31A0"/>
    <w:rPr>
      <w:i/>
      <w:iCs/>
    </w:rPr>
  </w:style>
  <w:style w:type="paragraph" w:styleId="Header">
    <w:name w:val="header"/>
    <w:basedOn w:val="Normal"/>
    <w:link w:val="HeaderChar"/>
    <w:uiPriority w:val="99"/>
    <w:unhideWhenUsed/>
    <w:rsid w:val="0049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58"/>
  </w:style>
  <w:style w:type="paragraph" w:styleId="Footer">
    <w:name w:val="footer"/>
    <w:basedOn w:val="Normal"/>
    <w:link w:val="FooterChar"/>
    <w:uiPriority w:val="99"/>
    <w:unhideWhenUsed/>
    <w:rsid w:val="0049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58"/>
  </w:style>
  <w:style w:type="character" w:styleId="Hyperlink">
    <w:name w:val="Hyperlink"/>
    <w:basedOn w:val="DefaultParagraphFont"/>
    <w:uiPriority w:val="99"/>
    <w:unhideWhenUsed/>
    <w:rsid w:val="00B4464B"/>
    <w:rPr>
      <w:color w:val="0563C1" w:themeColor="hyperlink"/>
      <w:u w:val="single"/>
    </w:rPr>
  </w:style>
  <w:style w:type="character" w:styleId="UnresolvedMention">
    <w:name w:val="Unresolved Mention"/>
    <w:basedOn w:val="DefaultParagraphFont"/>
    <w:uiPriority w:val="99"/>
    <w:semiHidden/>
    <w:unhideWhenUsed/>
    <w:rsid w:val="00B4464B"/>
    <w:rPr>
      <w:color w:val="605E5C"/>
      <w:shd w:val="clear" w:color="auto" w:fill="E1DFDD"/>
    </w:rPr>
  </w:style>
  <w:style w:type="character" w:styleId="CommentReference">
    <w:name w:val="annotation reference"/>
    <w:basedOn w:val="DefaultParagraphFont"/>
    <w:uiPriority w:val="99"/>
    <w:semiHidden/>
    <w:unhideWhenUsed/>
    <w:rsid w:val="00FE20AA"/>
    <w:rPr>
      <w:sz w:val="16"/>
      <w:szCs w:val="16"/>
    </w:rPr>
  </w:style>
  <w:style w:type="paragraph" w:styleId="CommentText">
    <w:name w:val="annotation text"/>
    <w:basedOn w:val="Normal"/>
    <w:link w:val="CommentTextChar"/>
    <w:uiPriority w:val="99"/>
    <w:semiHidden/>
    <w:unhideWhenUsed/>
    <w:rsid w:val="00FE20AA"/>
    <w:pPr>
      <w:spacing w:line="240" w:lineRule="auto"/>
    </w:pPr>
    <w:rPr>
      <w:sz w:val="20"/>
    </w:rPr>
  </w:style>
  <w:style w:type="character" w:customStyle="1" w:styleId="CommentTextChar">
    <w:name w:val="Comment Text Char"/>
    <w:basedOn w:val="DefaultParagraphFont"/>
    <w:link w:val="CommentText"/>
    <w:uiPriority w:val="99"/>
    <w:semiHidden/>
    <w:rsid w:val="00FE20AA"/>
    <w:rPr>
      <w:sz w:val="20"/>
    </w:rPr>
  </w:style>
  <w:style w:type="paragraph" w:styleId="CommentSubject">
    <w:name w:val="annotation subject"/>
    <w:basedOn w:val="CommentText"/>
    <w:next w:val="CommentText"/>
    <w:link w:val="CommentSubjectChar"/>
    <w:uiPriority w:val="99"/>
    <w:semiHidden/>
    <w:unhideWhenUsed/>
    <w:rsid w:val="00FE20AA"/>
    <w:rPr>
      <w:b/>
      <w:bCs/>
    </w:rPr>
  </w:style>
  <w:style w:type="character" w:customStyle="1" w:styleId="CommentSubjectChar">
    <w:name w:val="Comment Subject Char"/>
    <w:basedOn w:val="CommentTextChar"/>
    <w:link w:val="CommentSubject"/>
    <w:uiPriority w:val="99"/>
    <w:semiHidden/>
    <w:rsid w:val="00FE20AA"/>
    <w:rPr>
      <w:b/>
      <w:bCs/>
      <w:sz w:val="20"/>
    </w:rPr>
  </w:style>
  <w:style w:type="character" w:styleId="Strong">
    <w:name w:val="Strong"/>
    <w:basedOn w:val="DefaultParagraphFont"/>
    <w:uiPriority w:val="22"/>
    <w:qFormat/>
    <w:rsid w:val="00D53E75"/>
    <w:rPr>
      <w:b/>
      <w:bCs/>
    </w:rPr>
  </w:style>
  <w:style w:type="paragraph" w:styleId="Revision">
    <w:name w:val="Revision"/>
    <w:hidden/>
    <w:uiPriority w:val="99"/>
    <w:semiHidden/>
    <w:rsid w:val="00434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785">
      <w:bodyDiv w:val="1"/>
      <w:marLeft w:val="0"/>
      <w:marRight w:val="0"/>
      <w:marTop w:val="0"/>
      <w:marBottom w:val="0"/>
      <w:divBdr>
        <w:top w:val="none" w:sz="0" w:space="0" w:color="auto"/>
        <w:left w:val="none" w:sz="0" w:space="0" w:color="auto"/>
        <w:bottom w:val="none" w:sz="0" w:space="0" w:color="auto"/>
        <w:right w:val="none" w:sz="0" w:space="0" w:color="auto"/>
      </w:divBdr>
    </w:div>
    <w:div w:id="152989125">
      <w:bodyDiv w:val="1"/>
      <w:marLeft w:val="0"/>
      <w:marRight w:val="0"/>
      <w:marTop w:val="0"/>
      <w:marBottom w:val="0"/>
      <w:divBdr>
        <w:top w:val="none" w:sz="0" w:space="0" w:color="auto"/>
        <w:left w:val="none" w:sz="0" w:space="0" w:color="auto"/>
        <w:bottom w:val="none" w:sz="0" w:space="0" w:color="auto"/>
        <w:right w:val="none" w:sz="0" w:space="0" w:color="auto"/>
      </w:divBdr>
    </w:div>
    <w:div w:id="695928182">
      <w:bodyDiv w:val="1"/>
      <w:marLeft w:val="0"/>
      <w:marRight w:val="0"/>
      <w:marTop w:val="0"/>
      <w:marBottom w:val="0"/>
      <w:divBdr>
        <w:top w:val="none" w:sz="0" w:space="0" w:color="auto"/>
        <w:left w:val="none" w:sz="0" w:space="0" w:color="auto"/>
        <w:bottom w:val="none" w:sz="0" w:space="0" w:color="auto"/>
        <w:right w:val="none" w:sz="0" w:space="0" w:color="auto"/>
      </w:divBdr>
    </w:div>
    <w:div w:id="938411972">
      <w:bodyDiv w:val="1"/>
      <w:marLeft w:val="0"/>
      <w:marRight w:val="0"/>
      <w:marTop w:val="0"/>
      <w:marBottom w:val="0"/>
      <w:divBdr>
        <w:top w:val="none" w:sz="0" w:space="0" w:color="auto"/>
        <w:left w:val="none" w:sz="0" w:space="0" w:color="auto"/>
        <w:bottom w:val="none" w:sz="0" w:space="0" w:color="auto"/>
        <w:right w:val="none" w:sz="0" w:space="0" w:color="auto"/>
      </w:divBdr>
    </w:div>
    <w:div w:id="1105156773">
      <w:bodyDiv w:val="1"/>
      <w:marLeft w:val="0"/>
      <w:marRight w:val="0"/>
      <w:marTop w:val="0"/>
      <w:marBottom w:val="0"/>
      <w:divBdr>
        <w:top w:val="none" w:sz="0" w:space="0" w:color="auto"/>
        <w:left w:val="none" w:sz="0" w:space="0" w:color="auto"/>
        <w:bottom w:val="none" w:sz="0" w:space="0" w:color="auto"/>
        <w:right w:val="none" w:sz="0" w:space="0" w:color="auto"/>
      </w:divBdr>
    </w:div>
    <w:div w:id="1115563567">
      <w:bodyDiv w:val="1"/>
      <w:marLeft w:val="0"/>
      <w:marRight w:val="0"/>
      <w:marTop w:val="0"/>
      <w:marBottom w:val="0"/>
      <w:divBdr>
        <w:top w:val="none" w:sz="0" w:space="0" w:color="auto"/>
        <w:left w:val="none" w:sz="0" w:space="0" w:color="auto"/>
        <w:bottom w:val="none" w:sz="0" w:space="0" w:color="auto"/>
        <w:right w:val="none" w:sz="0" w:space="0" w:color="auto"/>
      </w:divBdr>
    </w:div>
    <w:div w:id="1263995640">
      <w:bodyDiv w:val="1"/>
      <w:marLeft w:val="0"/>
      <w:marRight w:val="0"/>
      <w:marTop w:val="0"/>
      <w:marBottom w:val="0"/>
      <w:divBdr>
        <w:top w:val="none" w:sz="0" w:space="0" w:color="auto"/>
        <w:left w:val="none" w:sz="0" w:space="0" w:color="auto"/>
        <w:bottom w:val="none" w:sz="0" w:space="0" w:color="auto"/>
        <w:right w:val="none" w:sz="0" w:space="0" w:color="auto"/>
      </w:divBdr>
    </w:div>
    <w:div w:id="1307126913">
      <w:bodyDiv w:val="1"/>
      <w:marLeft w:val="0"/>
      <w:marRight w:val="0"/>
      <w:marTop w:val="0"/>
      <w:marBottom w:val="0"/>
      <w:divBdr>
        <w:top w:val="none" w:sz="0" w:space="0" w:color="auto"/>
        <w:left w:val="none" w:sz="0" w:space="0" w:color="auto"/>
        <w:bottom w:val="none" w:sz="0" w:space="0" w:color="auto"/>
        <w:right w:val="none" w:sz="0" w:space="0" w:color="auto"/>
      </w:divBdr>
    </w:div>
    <w:div w:id="1537355287">
      <w:bodyDiv w:val="1"/>
      <w:marLeft w:val="0"/>
      <w:marRight w:val="0"/>
      <w:marTop w:val="0"/>
      <w:marBottom w:val="0"/>
      <w:divBdr>
        <w:top w:val="none" w:sz="0" w:space="0" w:color="auto"/>
        <w:left w:val="none" w:sz="0" w:space="0" w:color="auto"/>
        <w:bottom w:val="none" w:sz="0" w:space="0" w:color="auto"/>
        <w:right w:val="none" w:sz="0" w:space="0" w:color="auto"/>
      </w:divBdr>
    </w:div>
    <w:div w:id="1798454687">
      <w:bodyDiv w:val="1"/>
      <w:marLeft w:val="0"/>
      <w:marRight w:val="0"/>
      <w:marTop w:val="0"/>
      <w:marBottom w:val="0"/>
      <w:divBdr>
        <w:top w:val="none" w:sz="0" w:space="0" w:color="auto"/>
        <w:left w:val="none" w:sz="0" w:space="0" w:color="auto"/>
        <w:bottom w:val="none" w:sz="0" w:space="0" w:color="auto"/>
        <w:right w:val="none" w:sz="0" w:space="0" w:color="auto"/>
      </w:divBdr>
      <w:divsChild>
        <w:div w:id="598948477">
          <w:marLeft w:val="547"/>
          <w:marRight w:val="0"/>
          <w:marTop w:val="0"/>
          <w:marBottom w:val="0"/>
          <w:divBdr>
            <w:top w:val="none" w:sz="0" w:space="0" w:color="auto"/>
            <w:left w:val="none" w:sz="0" w:space="0" w:color="auto"/>
            <w:bottom w:val="none" w:sz="0" w:space="0" w:color="auto"/>
            <w:right w:val="none" w:sz="0" w:space="0" w:color="auto"/>
          </w:divBdr>
        </w:div>
      </w:divsChild>
    </w:div>
    <w:div w:id="1864854166">
      <w:bodyDiv w:val="1"/>
      <w:marLeft w:val="0"/>
      <w:marRight w:val="0"/>
      <w:marTop w:val="0"/>
      <w:marBottom w:val="0"/>
      <w:divBdr>
        <w:top w:val="none" w:sz="0" w:space="0" w:color="auto"/>
        <w:left w:val="none" w:sz="0" w:space="0" w:color="auto"/>
        <w:bottom w:val="none" w:sz="0" w:space="0" w:color="auto"/>
        <w:right w:val="none" w:sz="0" w:space="0" w:color="auto"/>
      </w:divBdr>
    </w:div>
    <w:div w:id="1889485096">
      <w:bodyDiv w:val="1"/>
      <w:marLeft w:val="0"/>
      <w:marRight w:val="0"/>
      <w:marTop w:val="0"/>
      <w:marBottom w:val="0"/>
      <w:divBdr>
        <w:top w:val="none" w:sz="0" w:space="0" w:color="auto"/>
        <w:left w:val="none" w:sz="0" w:space="0" w:color="auto"/>
        <w:bottom w:val="none" w:sz="0" w:space="0" w:color="auto"/>
        <w:right w:val="none" w:sz="0" w:space="0" w:color="auto"/>
      </w:divBdr>
    </w:div>
    <w:div w:id="189939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earning.rcgp.org.uk/mod/book/view.php?id=12649&amp;chapterid=7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english-surveillance-programme-antimicrobial-utilisation-and-resistance-espaur-repo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learning.rcgp.org.uk/mod/book/view.php?id=12647&amp;chapterid=4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bsa.nhs.uk/access-our-data-products/epact2" TargetMode="External"/><Relationship Id="rId5" Type="http://schemas.openxmlformats.org/officeDocument/2006/relationships/footnotes" Target="footnotes.xml"/><Relationship Id="rId15" Type="http://schemas.openxmlformats.org/officeDocument/2006/relationships/hyperlink" Target="mailto:TARGETAntibiotics@ukhsa.gov.uk" TargetMode="External"/><Relationship Id="rId10" Type="http://schemas.openxmlformats.org/officeDocument/2006/relationships/hyperlink" Target="https://elearning.rcgp.org.uk/mod/book/view.php?id=12649&amp;chapterid=7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9vic40zorPk&amp;t=3s" TargetMode="External"/><Relationship Id="rId14" Type="http://schemas.openxmlformats.org/officeDocument/2006/relationships/hyperlink" Target="https://elearning.rcgp.org.uk/mod/book/view.php?id=12649&amp;chapterid=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Pursey</dc:creator>
  <cp:keywords/>
  <dc:description/>
  <cp:lastModifiedBy>Eirwen Sides</cp:lastModifiedBy>
  <cp:revision>4</cp:revision>
  <dcterms:created xsi:type="dcterms:W3CDTF">2023-08-24T08:43:00Z</dcterms:created>
  <dcterms:modified xsi:type="dcterms:W3CDTF">2023-08-24T10:51:00Z</dcterms:modified>
</cp:coreProperties>
</file>