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DF0BB" w14:textId="3FDBEDD1" w:rsidR="00380785" w:rsidRDefault="00380785" w:rsidP="00380785">
      <w:pPr>
        <w:pStyle w:val="Title"/>
      </w:pPr>
      <w:r>
        <w:t>Frequent Attenders – The Power of 3</w:t>
      </w:r>
    </w:p>
    <w:p w14:paraId="1C52BFA7" w14:textId="77777777" w:rsidR="00887669" w:rsidRPr="00BF25E7" w:rsidRDefault="00887669" w:rsidP="00887669">
      <w:pPr>
        <w:pStyle w:val="Heading1"/>
        <w:spacing w:before="0"/>
        <w:rPr>
          <w:color w:val="A50F93" w:themeColor="accent1"/>
        </w:rPr>
      </w:pPr>
      <w:r w:rsidRPr="00BF25E7">
        <w:rPr>
          <w:color w:val="A50F93" w:themeColor="accent1"/>
        </w:rPr>
        <w:t>Continuity of Care</w:t>
      </w:r>
    </w:p>
    <w:p w14:paraId="2D8F1E32" w14:textId="77777777" w:rsidR="00887669" w:rsidRPr="000768FE" w:rsidRDefault="00887669" w:rsidP="00887669">
      <w:r w:rsidRPr="000768FE">
        <w:t>The evidence shows that continuity is</w:t>
      </w:r>
      <w:r>
        <w:t xml:space="preserve"> particularly</w:t>
      </w:r>
      <w:r w:rsidRPr="000768FE">
        <w:t xml:space="preserve"> </w:t>
      </w:r>
      <w:r>
        <w:t>important</w:t>
      </w:r>
      <w:r w:rsidRPr="000768FE">
        <w:t xml:space="preserve"> for frequent attenders because</w:t>
      </w:r>
      <w:r>
        <w:t>:</w:t>
      </w:r>
    </w:p>
    <w:p w14:paraId="6686244D" w14:textId="77777777" w:rsidR="00887669" w:rsidRPr="00295ECA" w:rsidRDefault="00887669" w:rsidP="00887669">
      <w:pPr>
        <w:pStyle w:val="ListParagraph"/>
        <w:numPr>
          <w:ilvl w:val="0"/>
          <w:numId w:val="5"/>
        </w:numPr>
      </w:pPr>
      <w:r w:rsidRPr="00295ECA">
        <w:t>They do</w:t>
      </w:r>
      <w:r>
        <w:t xml:space="preserve"> not</w:t>
      </w:r>
      <w:r w:rsidRPr="00295ECA">
        <w:t xml:space="preserve"> need to repeat their story at each consultation.</w:t>
      </w:r>
    </w:p>
    <w:p w14:paraId="432B8A65" w14:textId="77777777" w:rsidR="00887669" w:rsidRPr="00295ECA" w:rsidRDefault="00887669" w:rsidP="00887669">
      <w:pPr>
        <w:pStyle w:val="ListParagraph"/>
        <w:numPr>
          <w:ilvl w:val="0"/>
          <w:numId w:val="5"/>
        </w:numPr>
      </w:pPr>
      <w:r w:rsidRPr="00295ECA">
        <w:t xml:space="preserve">The GP </w:t>
      </w:r>
      <w:r>
        <w:t xml:space="preserve">builds a picture of the patient with each </w:t>
      </w:r>
      <w:r w:rsidRPr="00295ECA">
        <w:t>consultation.</w:t>
      </w:r>
    </w:p>
    <w:p w14:paraId="78691829" w14:textId="3597AC2B" w:rsidR="00887669" w:rsidRDefault="00887669" w:rsidP="00887669">
      <w:pPr>
        <w:pStyle w:val="ListParagraph"/>
        <w:numPr>
          <w:ilvl w:val="0"/>
          <w:numId w:val="5"/>
        </w:numPr>
      </w:pPr>
      <w:r w:rsidRPr="00295ECA">
        <w:t>A trusting relationship develops between GP and patient.</w:t>
      </w:r>
    </w:p>
    <w:p w14:paraId="16B4BE52" w14:textId="6B8C37D9" w:rsidR="002748B5" w:rsidRPr="00295ECA" w:rsidRDefault="002748B5" w:rsidP="00887669">
      <w:pPr>
        <w:pStyle w:val="ListParagraph"/>
        <w:numPr>
          <w:ilvl w:val="0"/>
          <w:numId w:val="5"/>
        </w:numPr>
      </w:pPr>
      <w:r>
        <w:t>It helps avoid late or missed diagnosis.</w:t>
      </w:r>
    </w:p>
    <w:p w14:paraId="72D0C411" w14:textId="77777777" w:rsidR="00887669" w:rsidRPr="00BF25E7" w:rsidRDefault="00887669" w:rsidP="00887669">
      <w:pPr>
        <w:pStyle w:val="Heading1"/>
        <w:rPr>
          <w:color w:val="A50F93" w:themeColor="accent1"/>
        </w:rPr>
      </w:pPr>
      <w:r w:rsidRPr="00BF25E7">
        <w:rPr>
          <w:color w:val="A50F93" w:themeColor="accent1"/>
        </w:rPr>
        <w:t xml:space="preserve">The Power of 3 </w:t>
      </w:r>
    </w:p>
    <w:p w14:paraId="19CE5660" w14:textId="2B54E8D1" w:rsidR="00887669" w:rsidRDefault="00887669" w:rsidP="00887669">
      <w:r>
        <w:t>Working with Bristol practices on improving continuity of care for frequent attenders, a pattern began to emerge – some of the good stuff you can do to improve continuity of care falls into groups of 3s: 3 Consultations; 3 Types; 3 Measures; 3 Monthly.</w:t>
      </w:r>
    </w:p>
    <w:p w14:paraId="1BD46E34" w14:textId="77777777" w:rsidR="00887669" w:rsidRDefault="00887669" w:rsidP="00887669">
      <w:r>
        <w:t>Here we share those ‘power of 3’ ideas.</w:t>
      </w:r>
    </w:p>
    <w:p w14:paraId="4AB7DCB9" w14:textId="3F9485C0" w:rsidR="00887669" w:rsidRPr="00085ACA" w:rsidRDefault="00887669" w:rsidP="00887669">
      <w:pPr>
        <w:pStyle w:val="Heading1"/>
        <w:spacing w:before="120"/>
      </w:pPr>
      <w:r>
        <w:rPr>
          <w:noProof/>
        </w:rPr>
        <w:drawing>
          <wp:inline distT="0" distB="0" distL="0" distR="0" wp14:anchorId="557FB8D4" wp14:editId="1914FAE5">
            <wp:extent cx="365760" cy="365760"/>
            <wp:effectExtent l="0" t="0" r="0" b="0"/>
            <wp:docPr id="4" name="Graphic 5" descr="Stethoscop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65760" cy="365760"/>
                    </a:xfrm>
                    <a:prstGeom prst="rect">
                      <a:avLst/>
                    </a:prstGeom>
                  </pic:spPr>
                </pic:pic>
              </a:graphicData>
            </a:graphic>
          </wp:inline>
        </w:drawing>
      </w:r>
      <w:r>
        <w:t>3 CONSULTATIONS</w:t>
      </w:r>
    </w:p>
    <w:p w14:paraId="0A9B8F29" w14:textId="2EB77943" w:rsidR="00887669" w:rsidRPr="001610ED" w:rsidRDefault="00887669" w:rsidP="00887669">
      <w:r w:rsidRPr="000768FE">
        <w:t>When a person present</w:t>
      </w:r>
      <w:r>
        <w:t>s</w:t>
      </w:r>
      <w:r w:rsidRPr="000768FE">
        <w:t xml:space="preserve"> 3 times with similar or possibly linked problem</w:t>
      </w:r>
      <w:r>
        <w:t>s</w:t>
      </w:r>
      <w:r w:rsidRPr="000768FE">
        <w:t xml:space="preserve"> over a period of 3 month</w:t>
      </w:r>
      <w:r>
        <w:t>s</w:t>
      </w:r>
      <w:r w:rsidRPr="000768FE">
        <w:t>, a GP should have heightened awareness and persist in checking all possibilities.  It is common in general practice to see a patient where things are uncertain and unclear, but it is how a GP respon</w:t>
      </w:r>
      <w:r>
        <w:t>d</w:t>
      </w:r>
      <w:r w:rsidRPr="000768FE">
        <w:t>s that is key in supporting the patient to self-manage or in making a diagnosis.</w:t>
      </w:r>
      <w:r w:rsidRPr="002A525A">
        <w:rPr>
          <w:b/>
          <w:bCs/>
        </w:rPr>
        <w:t xml:space="preserve"> </w:t>
      </w:r>
      <w:r>
        <w:t>Continuity of care supports all these consultation outcomes.</w:t>
      </w:r>
    </w:p>
    <w:tbl>
      <w:tblPr>
        <w:tblStyle w:val="TableGrid1"/>
        <w:tblW w:w="0" w:type="auto"/>
        <w:tblInd w:w="0" w:type="dxa"/>
        <w:tblLook w:val="04A0" w:firstRow="1" w:lastRow="0" w:firstColumn="1" w:lastColumn="0" w:noHBand="0" w:noVBand="1"/>
      </w:tblPr>
      <w:tblGrid>
        <w:gridCol w:w="390"/>
        <w:gridCol w:w="1193"/>
        <w:gridCol w:w="2709"/>
        <w:gridCol w:w="4724"/>
      </w:tblGrid>
      <w:tr w:rsidR="00887669" w:rsidRPr="00442C9F" w14:paraId="1273726F" w14:textId="77777777" w:rsidTr="1914FAE5">
        <w:tc>
          <w:tcPr>
            <w:tcW w:w="4361" w:type="dxa"/>
            <w:gridSpan w:val="3"/>
            <w:tcBorders>
              <w:top w:val="single" w:sz="4" w:space="0" w:color="auto"/>
              <w:left w:val="single" w:sz="4" w:space="0" w:color="auto"/>
              <w:bottom w:val="single" w:sz="4" w:space="0" w:color="auto"/>
              <w:right w:val="single" w:sz="4" w:space="0" w:color="auto"/>
            </w:tcBorders>
            <w:shd w:val="clear" w:color="auto" w:fill="C994C9" w:themeFill="accent5" w:themeFillShade="BF"/>
            <w:vAlign w:val="center"/>
          </w:tcPr>
          <w:p w14:paraId="0CCFC53B" w14:textId="7B7CB248" w:rsidR="00887669" w:rsidRPr="00442C9F" w:rsidRDefault="00887669" w:rsidP="00887669">
            <w:pPr>
              <w:jc w:val="center"/>
              <w:rPr>
                <w:b/>
                <w:bCs/>
              </w:rPr>
            </w:pPr>
            <w:r>
              <w:rPr>
                <w:b/>
                <w:bCs/>
              </w:rPr>
              <w:t>CONSULTATION</w:t>
            </w:r>
          </w:p>
        </w:tc>
        <w:tc>
          <w:tcPr>
            <w:tcW w:w="4881" w:type="dxa"/>
            <w:tcBorders>
              <w:top w:val="single" w:sz="4" w:space="0" w:color="auto"/>
              <w:left w:val="single" w:sz="4" w:space="0" w:color="auto"/>
              <w:bottom w:val="single" w:sz="4" w:space="0" w:color="auto"/>
              <w:right w:val="single" w:sz="4" w:space="0" w:color="auto"/>
            </w:tcBorders>
            <w:shd w:val="clear" w:color="auto" w:fill="C994C9" w:themeFill="accent5" w:themeFillShade="BF"/>
            <w:vAlign w:val="center"/>
          </w:tcPr>
          <w:p w14:paraId="19CE17CA" w14:textId="2831AF84" w:rsidR="00887669" w:rsidRPr="00AF7467" w:rsidRDefault="00887669" w:rsidP="00A507D4">
            <w:pPr>
              <w:jc w:val="center"/>
              <w:rPr>
                <w:b/>
                <w:bCs/>
              </w:rPr>
            </w:pPr>
            <w:r w:rsidRPr="00AF7467">
              <w:rPr>
                <w:b/>
                <w:bCs/>
              </w:rPr>
              <w:t>SUGGEST</w:t>
            </w:r>
            <w:r w:rsidR="00A507D4">
              <w:rPr>
                <w:b/>
                <w:bCs/>
              </w:rPr>
              <w:t>ED</w:t>
            </w:r>
            <w:r w:rsidRPr="00AF7467">
              <w:rPr>
                <w:b/>
                <w:bCs/>
              </w:rPr>
              <w:t xml:space="preserve"> ACTIVITIES</w:t>
            </w:r>
          </w:p>
        </w:tc>
      </w:tr>
      <w:tr w:rsidR="00887669" w:rsidRPr="00442C9F" w14:paraId="311367BB" w14:textId="77777777" w:rsidTr="1914FAE5">
        <w:tc>
          <w:tcPr>
            <w:tcW w:w="392" w:type="dxa"/>
            <w:tcBorders>
              <w:top w:val="single" w:sz="4" w:space="0" w:color="auto"/>
              <w:left w:val="single" w:sz="4" w:space="0" w:color="auto"/>
              <w:right w:val="single" w:sz="4" w:space="0" w:color="auto"/>
            </w:tcBorders>
          </w:tcPr>
          <w:p w14:paraId="3DC3ECDF" w14:textId="3E7D18A2" w:rsidR="00887669" w:rsidRPr="00442C9F" w:rsidRDefault="00887669" w:rsidP="00B467B6">
            <w:pPr>
              <w:rPr>
                <w:b/>
                <w:bCs/>
              </w:rPr>
            </w:pPr>
            <w:r>
              <w:rPr>
                <w:b/>
                <w:bCs/>
              </w:rPr>
              <w:t>1</w:t>
            </w:r>
          </w:p>
        </w:tc>
        <w:tc>
          <w:tcPr>
            <w:tcW w:w="1193" w:type="dxa"/>
            <w:tcBorders>
              <w:top w:val="single" w:sz="4" w:space="0" w:color="auto"/>
              <w:left w:val="single" w:sz="4" w:space="0" w:color="auto"/>
              <w:right w:val="single" w:sz="4" w:space="0" w:color="auto"/>
            </w:tcBorders>
            <w:hideMark/>
          </w:tcPr>
          <w:p w14:paraId="71F9BBD3" w14:textId="0E728314" w:rsidR="00887669" w:rsidRPr="00442C9F" w:rsidRDefault="00887669" w:rsidP="00B467B6">
            <w:r w:rsidRPr="00442C9F">
              <w:t>Duration, Severity &amp; Symptoms</w:t>
            </w:r>
          </w:p>
          <w:p w14:paraId="09B2F3AA" w14:textId="41077CBE" w:rsidR="00887669" w:rsidRPr="00442C9F" w:rsidRDefault="00887669" w:rsidP="00887669"/>
        </w:tc>
        <w:tc>
          <w:tcPr>
            <w:tcW w:w="2776" w:type="dxa"/>
            <w:tcBorders>
              <w:top w:val="single" w:sz="4" w:space="0" w:color="auto"/>
              <w:left w:val="single" w:sz="4" w:space="0" w:color="auto"/>
              <w:right w:val="single" w:sz="4" w:space="0" w:color="auto"/>
            </w:tcBorders>
          </w:tcPr>
          <w:p w14:paraId="207281EC" w14:textId="77777777" w:rsidR="00887669" w:rsidRPr="00442C9F" w:rsidRDefault="00887669" w:rsidP="00887669">
            <w:r w:rsidRPr="00442C9F">
              <w:t>Very short, or long duration of symptoms, reduces the probability of serious illness. Minor symptoms are often, but not always, less serious.</w:t>
            </w:r>
          </w:p>
          <w:p w14:paraId="14A79400" w14:textId="541B799C" w:rsidR="00887669" w:rsidRPr="00442C9F" w:rsidRDefault="00887669" w:rsidP="00887669"/>
        </w:tc>
        <w:tc>
          <w:tcPr>
            <w:tcW w:w="4881" w:type="dxa"/>
            <w:tcBorders>
              <w:top w:val="single" w:sz="4" w:space="0" w:color="auto"/>
              <w:left w:val="single" w:sz="4" w:space="0" w:color="auto"/>
              <w:bottom w:val="single" w:sz="4" w:space="0" w:color="auto"/>
              <w:right w:val="single" w:sz="4" w:space="0" w:color="auto"/>
            </w:tcBorders>
            <w:hideMark/>
          </w:tcPr>
          <w:p w14:paraId="7BE591B3" w14:textId="77777777" w:rsidR="00887669" w:rsidRPr="00442C9F" w:rsidRDefault="00887669" w:rsidP="00B467B6">
            <w:r w:rsidRPr="00442C9F">
              <w:t>If somebody consults repeatedly for the same problem (and 3 times could count as repeatedly) then explain to them why continuity could help them and explain how to achieve it</w:t>
            </w:r>
          </w:p>
        </w:tc>
      </w:tr>
      <w:tr w:rsidR="00887669" w:rsidRPr="00442C9F" w14:paraId="3F44A234" w14:textId="77777777" w:rsidTr="1914FAE5">
        <w:tc>
          <w:tcPr>
            <w:tcW w:w="392" w:type="dxa"/>
            <w:tcBorders>
              <w:left w:val="single" w:sz="4" w:space="0" w:color="auto"/>
              <w:right w:val="single" w:sz="4" w:space="0" w:color="auto"/>
            </w:tcBorders>
          </w:tcPr>
          <w:p w14:paraId="12638E84" w14:textId="6026D970" w:rsidR="00887669" w:rsidRPr="00442C9F" w:rsidRDefault="00887669" w:rsidP="00B467B6">
            <w:pPr>
              <w:rPr>
                <w:b/>
                <w:bCs/>
              </w:rPr>
            </w:pPr>
            <w:r>
              <w:rPr>
                <w:b/>
                <w:bCs/>
              </w:rPr>
              <w:t>2</w:t>
            </w:r>
          </w:p>
        </w:tc>
        <w:tc>
          <w:tcPr>
            <w:tcW w:w="1193" w:type="dxa"/>
            <w:tcBorders>
              <w:left w:val="single" w:sz="4" w:space="0" w:color="auto"/>
              <w:right w:val="single" w:sz="4" w:space="0" w:color="auto"/>
            </w:tcBorders>
            <w:hideMark/>
          </w:tcPr>
          <w:p w14:paraId="4CF4672C" w14:textId="5A1B543B" w:rsidR="00887669" w:rsidRPr="00442C9F" w:rsidRDefault="00887669" w:rsidP="00B467B6">
            <w:r w:rsidRPr="00442C9F">
              <w:t>Patterns and Precedent</w:t>
            </w:r>
          </w:p>
        </w:tc>
        <w:tc>
          <w:tcPr>
            <w:tcW w:w="2776" w:type="dxa"/>
            <w:tcBorders>
              <w:left w:val="single" w:sz="4" w:space="0" w:color="auto"/>
              <w:right w:val="single" w:sz="4" w:space="0" w:color="auto"/>
            </w:tcBorders>
          </w:tcPr>
          <w:p w14:paraId="75D7B54D" w14:textId="0545C586" w:rsidR="00887669" w:rsidRPr="00442C9F" w:rsidRDefault="00887669" w:rsidP="00887669">
            <w:r>
              <w:t>Knowledge of previous patterns of presentation and successful treatment set a precedent to a quicker cure.  Patterns are also identified through good record</w:t>
            </w:r>
            <w:r w:rsidR="00505E06">
              <w:t>-</w:t>
            </w:r>
            <w:r>
              <w:t xml:space="preserve">keeping.  </w:t>
            </w:r>
          </w:p>
          <w:p w14:paraId="3AE387F4" w14:textId="1B2747A6" w:rsidR="00887669" w:rsidRPr="00442C9F" w:rsidRDefault="00887669" w:rsidP="00B467B6"/>
        </w:tc>
        <w:tc>
          <w:tcPr>
            <w:tcW w:w="4881" w:type="dxa"/>
            <w:tcBorders>
              <w:top w:val="single" w:sz="4" w:space="0" w:color="auto"/>
              <w:left w:val="single" w:sz="4" w:space="0" w:color="auto"/>
              <w:bottom w:val="single" w:sz="4" w:space="0" w:color="auto"/>
              <w:right w:val="single" w:sz="4" w:space="0" w:color="auto"/>
            </w:tcBorders>
            <w:hideMark/>
          </w:tcPr>
          <w:p w14:paraId="45E36273" w14:textId="40E967B0" w:rsidR="00887669" w:rsidRPr="00442C9F" w:rsidRDefault="00887669" w:rsidP="00B467B6">
            <w:r w:rsidRPr="00442C9F">
              <w:t xml:space="preserve">Think about whether the presenting problem is new - so working in a mind-set of diagnosis and creating a management plan - or whether </w:t>
            </w:r>
            <w:proofErr w:type="gramStart"/>
            <w:r w:rsidRPr="00442C9F">
              <w:t>it’s</w:t>
            </w:r>
            <w:proofErr w:type="gramEnd"/>
            <w:r w:rsidRPr="00442C9F">
              <w:t xml:space="preserve"> a recurrence - either of a condition which is intermittent (</w:t>
            </w:r>
            <w:r w:rsidR="00A30FF5">
              <w:t>e.g.,</w:t>
            </w:r>
            <w:r w:rsidRPr="00442C9F">
              <w:t xml:space="preserve"> inflammatory bowel disease) or which flares up in response to social/personal stresses.</w:t>
            </w:r>
          </w:p>
        </w:tc>
      </w:tr>
      <w:tr w:rsidR="00887669" w:rsidRPr="00442C9F" w14:paraId="3CCDCA07" w14:textId="77777777" w:rsidTr="1914FAE5">
        <w:tc>
          <w:tcPr>
            <w:tcW w:w="392" w:type="dxa"/>
            <w:tcBorders>
              <w:left w:val="single" w:sz="4" w:space="0" w:color="auto"/>
              <w:bottom w:val="single" w:sz="4" w:space="0" w:color="auto"/>
              <w:right w:val="single" w:sz="4" w:space="0" w:color="auto"/>
            </w:tcBorders>
          </w:tcPr>
          <w:p w14:paraId="2A8B565E" w14:textId="4D708EAE" w:rsidR="00887669" w:rsidRPr="00442C9F" w:rsidRDefault="00887669" w:rsidP="00887669">
            <w:pPr>
              <w:rPr>
                <w:b/>
                <w:bCs/>
              </w:rPr>
            </w:pPr>
            <w:r>
              <w:rPr>
                <w:b/>
                <w:bCs/>
              </w:rPr>
              <w:t>3</w:t>
            </w:r>
          </w:p>
        </w:tc>
        <w:tc>
          <w:tcPr>
            <w:tcW w:w="1193" w:type="dxa"/>
            <w:tcBorders>
              <w:left w:val="single" w:sz="4" w:space="0" w:color="auto"/>
              <w:bottom w:val="single" w:sz="4" w:space="0" w:color="auto"/>
              <w:right w:val="single" w:sz="4" w:space="0" w:color="auto"/>
            </w:tcBorders>
            <w:hideMark/>
          </w:tcPr>
          <w:p w14:paraId="3D1525B2" w14:textId="657B3D96" w:rsidR="00887669" w:rsidRPr="00442C9F" w:rsidRDefault="00887669" w:rsidP="00887669">
            <w:r w:rsidRPr="00442C9F">
              <w:t>Act and Review</w:t>
            </w:r>
          </w:p>
          <w:p w14:paraId="6E2EF985" w14:textId="10DBB00E" w:rsidR="00887669" w:rsidRPr="00442C9F" w:rsidRDefault="00887669" w:rsidP="00887669"/>
        </w:tc>
        <w:tc>
          <w:tcPr>
            <w:tcW w:w="2776" w:type="dxa"/>
            <w:tcBorders>
              <w:left w:val="single" w:sz="4" w:space="0" w:color="auto"/>
              <w:bottom w:val="single" w:sz="4" w:space="0" w:color="auto"/>
              <w:right w:val="single" w:sz="4" w:space="0" w:color="auto"/>
            </w:tcBorders>
          </w:tcPr>
          <w:p w14:paraId="3A100B80" w14:textId="56FDC6D3" w:rsidR="00887669" w:rsidRPr="00442C9F" w:rsidRDefault="00887669" w:rsidP="00B467B6">
            <w:r w:rsidRPr="00442C9F">
              <w:t>Ongoing symptoms may be serious so arrange review and check for warning signs. Remember anxiety and depression can cause</w:t>
            </w:r>
            <w:r>
              <w:t xml:space="preserve"> symptoms.</w:t>
            </w:r>
          </w:p>
        </w:tc>
        <w:tc>
          <w:tcPr>
            <w:tcW w:w="4881" w:type="dxa"/>
            <w:tcBorders>
              <w:top w:val="single" w:sz="4" w:space="0" w:color="auto"/>
              <w:left w:val="single" w:sz="4" w:space="0" w:color="auto"/>
              <w:bottom w:val="single" w:sz="4" w:space="0" w:color="auto"/>
              <w:right w:val="single" w:sz="4" w:space="0" w:color="auto"/>
            </w:tcBorders>
            <w:hideMark/>
          </w:tcPr>
          <w:p w14:paraId="5A59A9A3" w14:textId="43F6A1BF" w:rsidR="00887669" w:rsidRPr="00442C9F" w:rsidRDefault="00887669" w:rsidP="00B467B6">
            <w:r w:rsidRPr="00442C9F">
              <w:t>If you reach the point where you think investigations are needed (which may be before the 3rd consultation) - use informational continuity (</w:t>
            </w:r>
            <w:proofErr w:type="gramStart"/>
            <w:r w:rsidRPr="00442C9F">
              <w:t>i</w:t>
            </w:r>
            <w:r>
              <w:t>.</w:t>
            </w:r>
            <w:r w:rsidRPr="00442C9F">
              <w:t>e</w:t>
            </w:r>
            <w:r>
              <w:t>.</w:t>
            </w:r>
            <w:proofErr w:type="gramEnd"/>
            <w:r w:rsidRPr="00442C9F">
              <w:t xml:space="preserve"> scan through the notes) to see if the test you're considering has been done. If it has, think about whether you are in the realm of medically unexplained symptoms which is more common in more frequently attending patients and what the investigation will add.</w:t>
            </w:r>
          </w:p>
        </w:tc>
      </w:tr>
    </w:tbl>
    <w:p w14:paraId="3DCC3307" w14:textId="77777777" w:rsidR="00887669" w:rsidRDefault="00887669" w:rsidP="00887669"/>
    <w:p w14:paraId="0C77987F" w14:textId="550E5D6F" w:rsidR="00887669" w:rsidRDefault="00887669" w:rsidP="00887669">
      <w:pPr>
        <w:pStyle w:val="Heading1"/>
        <w:spacing w:before="0"/>
      </w:pPr>
      <w:r>
        <w:rPr>
          <w:noProof/>
        </w:rPr>
        <w:drawing>
          <wp:inline distT="0" distB="0" distL="0" distR="0" wp14:anchorId="0B51BAD1" wp14:editId="4AAE9D5D">
            <wp:extent cx="372177" cy="441960"/>
            <wp:effectExtent l="0" t="0" r="8890" b="0"/>
            <wp:docPr id="8" name="Graphic 8" descr="Slin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372177" cy="441960"/>
                    </a:xfrm>
                    <a:prstGeom prst="rect">
                      <a:avLst/>
                    </a:prstGeom>
                  </pic:spPr>
                </pic:pic>
              </a:graphicData>
            </a:graphic>
          </wp:inline>
        </w:drawing>
      </w:r>
      <w:r>
        <w:t xml:space="preserve"> 3 TYPES </w:t>
      </w:r>
    </w:p>
    <w:p w14:paraId="6321EC1E" w14:textId="540016C8" w:rsidR="00887669" w:rsidRPr="00AB4F6A" w:rsidRDefault="00887669" w:rsidP="00887669">
      <w:pPr>
        <w:rPr>
          <w:b/>
          <w:bCs/>
          <w:color w:val="A50F93" w:themeColor="accent1"/>
        </w:rPr>
      </w:pPr>
      <w:r>
        <w:t>Providing continuity to patients is important but we must recognise the care of these patients can impact on clinicians particularly when a frequent attender falls into one of the 3 types below:</w:t>
      </w:r>
    </w:p>
    <w:p w14:paraId="2345D23D" w14:textId="790923FC" w:rsidR="00887669" w:rsidRPr="00887669" w:rsidRDefault="00887669" w:rsidP="00A507D4">
      <w:pPr>
        <w:pStyle w:val="ListParagraph"/>
        <w:numPr>
          <w:ilvl w:val="0"/>
          <w:numId w:val="10"/>
        </w:numPr>
        <w:spacing w:after="200"/>
        <w:ind w:left="357" w:hanging="357"/>
      </w:pPr>
      <w:r w:rsidRPr="1914FAE5">
        <w:rPr>
          <w:b/>
          <w:bCs/>
        </w:rPr>
        <w:t>Heart sink patients</w:t>
      </w:r>
      <w:r>
        <w:t xml:space="preserve"> (not always frequent attenders) cause GP anxiety and stress.  They are the GP’s problem, not the patients.  It is estimated they account for 11% of average GP workload so its important GPs learn how to provide structure to stop a patient rambling</w:t>
      </w:r>
      <w:r w:rsidR="007F7F41">
        <w:t xml:space="preserve">.  The GP should look to </w:t>
      </w:r>
      <w:r>
        <w:t xml:space="preserve">negotiate with a patient which problem needs attention today and set rules e.g. I will see you again in 4 weeks to curb frequent visits.  O’Dowd’s </w:t>
      </w:r>
      <w:r w:rsidRPr="1914FAE5">
        <w:rPr>
          <w:rFonts w:cstheme="minorBidi"/>
          <w:lang w:eastAsia="en-US"/>
        </w:rPr>
        <w:t>paper on heart sink patients</w:t>
      </w:r>
      <w:r>
        <w:t xml:space="preserve"> is a useful insight (</w:t>
      </w:r>
      <w:r w:rsidR="0006166E">
        <w:t xml:space="preserve"> </w:t>
      </w:r>
      <w:hyperlink r:id="rId14" w:history="1">
        <w:r w:rsidR="00615915">
          <w:rPr>
            <w:rFonts w:eastAsiaTheme="minorHAnsi" w:cstheme="minorBidi"/>
            <w:color w:val="0000FF"/>
            <w:u w:val="single"/>
            <w:lang w:eastAsia="en-US"/>
          </w:rPr>
          <w:t xml:space="preserve">BMJ </w:t>
        </w:r>
      </w:hyperlink>
      <w:r>
        <w:t xml:space="preserve">). </w:t>
      </w:r>
      <w:r w:rsidR="00BA56C3">
        <w:t xml:space="preserve"> </w:t>
      </w:r>
    </w:p>
    <w:p w14:paraId="43B01B62" w14:textId="77777777" w:rsidR="00887669" w:rsidRPr="00887669" w:rsidRDefault="00887669" w:rsidP="00A507D4">
      <w:pPr>
        <w:pStyle w:val="ListParagraph"/>
        <w:numPr>
          <w:ilvl w:val="0"/>
          <w:numId w:val="0"/>
        </w:numPr>
        <w:ind w:left="363"/>
      </w:pPr>
    </w:p>
    <w:p w14:paraId="28C15164" w14:textId="489F3EC8" w:rsidR="00887669" w:rsidRPr="00887669" w:rsidRDefault="00887669" w:rsidP="00A507D4">
      <w:pPr>
        <w:pStyle w:val="ListParagraph"/>
        <w:numPr>
          <w:ilvl w:val="0"/>
          <w:numId w:val="10"/>
        </w:numPr>
        <w:ind w:left="363"/>
      </w:pPr>
      <w:r w:rsidRPr="00887669">
        <w:rPr>
          <w:b/>
          <w:bCs/>
        </w:rPr>
        <w:t>Complex or Difficult patients</w:t>
      </w:r>
    </w:p>
    <w:p w14:paraId="2FEA78F9" w14:textId="4CE275A8" w:rsidR="00887669" w:rsidRDefault="00887669" w:rsidP="00A507D4">
      <w:pPr>
        <w:ind w:left="363"/>
      </w:pPr>
      <w:r w:rsidRPr="001610ED">
        <w:t>Continuity of care for th</w:t>
      </w:r>
      <w:r w:rsidR="007F7F41">
        <w:t>is group of</w:t>
      </w:r>
      <w:r w:rsidRPr="001610ED">
        <w:t xml:space="preserve"> patients is important as research shows it will reduce the burden on</w:t>
      </w:r>
      <w:r>
        <w:t xml:space="preserve"> the GP practice and on</w:t>
      </w:r>
      <w:r w:rsidRPr="001610ED">
        <w:t xml:space="preserve"> A&amp;E/Urgent care</w:t>
      </w:r>
      <w:r>
        <w:t>.</w:t>
      </w:r>
    </w:p>
    <w:p w14:paraId="08895323" w14:textId="512FB987" w:rsidR="00887669" w:rsidRPr="00887669" w:rsidRDefault="00887669" w:rsidP="00A507D4">
      <w:pPr>
        <w:pStyle w:val="ListParagraph"/>
        <w:numPr>
          <w:ilvl w:val="0"/>
          <w:numId w:val="10"/>
        </w:numPr>
        <w:ind w:left="363"/>
      </w:pPr>
      <w:r w:rsidRPr="00887669">
        <w:rPr>
          <w:b/>
          <w:bCs/>
        </w:rPr>
        <w:t>Dependent patients</w:t>
      </w:r>
    </w:p>
    <w:p w14:paraId="17470FFA" w14:textId="6A3D8659" w:rsidR="00887669" w:rsidRPr="00380785" w:rsidRDefault="00887669" w:rsidP="00A507D4">
      <w:pPr>
        <w:ind w:left="363"/>
      </w:pPr>
      <w:r>
        <w:t>Continuity of care can exacerbate patient dependency on a GP. Dependency may be part of</w:t>
      </w:r>
      <w:r w:rsidR="00505E06">
        <w:t xml:space="preserve"> a</w:t>
      </w:r>
      <w:r>
        <w:t xml:space="preserve"> patient’s way of relating to others as </w:t>
      </w:r>
      <w:r w:rsidR="00505E06">
        <w:t xml:space="preserve">they </w:t>
      </w:r>
      <w:r>
        <w:t>may be emotional/</w:t>
      </w:r>
      <w:r w:rsidR="00505E06">
        <w:t xml:space="preserve">lonely or have a </w:t>
      </w:r>
      <w:r>
        <w:t>mental health</w:t>
      </w:r>
      <w:r w:rsidR="00505E06">
        <w:t xml:space="preserve"> problem</w:t>
      </w:r>
      <w:r>
        <w:t xml:space="preserve">.  In Bristol, some practices have linked patients into social prescribing to guide the patient towards alternative, more suitable support. </w:t>
      </w:r>
    </w:p>
    <w:p w14:paraId="1C3CAE62" w14:textId="53A1A37A" w:rsidR="00887669" w:rsidRDefault="00887669" w:rsidP="00A507D4">
      <w:pPr>
        <w:ind w:left="363"/>
      </w:pPr>
      <w:r>
        <w:t>Support your GP colleagues</w:t>
      </w:r>
      <w:r w:rsidR="00505E06">
        <w:t>:</w:t>
      </w:r>
      <w:r>
        <w:t xml:space="preserve"> this can happen informally with lunch time chats with colleagues, or </w:t>
      </w:r>
      <w:r w:rsidR="00505E06">
        <w:t>through a</w:t>
      </w:r>
      <w:r>
        <w:t xml:space="preserve"> buddy system or mentoring programme within </w:t>
      </w:r>
      <w:r w:rsidR="00505E06">
        <w:t xml:space="preserve">(or beyond) </w:t>
      </w:r>
      <w:r>
        <w:t xml:space="preserve">the practice, or perhaps look at a Balint Group.   </w:t>
      </w:r>
    </w:p>
    <w:p w14:paraId="5EFAA0CB" w14:textId="054646EE" w:rsidR="00887669" w:rsidRDefault="00887669" w:rsidP="00A507D4">
      <w:pPr>
        <w:ind w:left="363"/>
      </w:pPr>
      <w:r>
        <w:t xml:space="preserve">Consider putting in place </w:t>
      </w:r>
      <w:r w:rsidR="00505E06">
        <w:t>m</w:t>
      </w:r>
      <w:r>
        <w:t xml:space="preserve">anagement </w:t>
      </w:r>
      <w:r w:rsidR="00505E06">
        <w:t>p</w:t>
      </w:r>
      <w:r>
        <w:t>lans for these patients. Start with a longer</w:t>
      </w:r>
      <w:r w:rsidR="00505E06">
        <w:t>-</w:t>
      </w:r>
      <w:r>
        <w:t>than</w:t>
      </w:r>
      <w:r w:rsidR="00505E06">
        <w:t>-</w:t>
      </w:r>
      <w:r>
        <w:t xml:space="preserve">usual consultation to give you time to listen to the patient, and then with the patient set goals and parameters, including ways to help them cope. </w:t>
      </w:r>
    </w:p>
    <w:p w14:paraId="67DB1492" w14:textId="23443A7A" w:rsidR="00887669" w:rsidRDefault="00887669" w:rsidP="00887669">
      <w:pPr>
        <w:pStyle w:val="Heading1"/>
        <w:spacing w:before="0"/>
      </w:pPr>
      <w:r>
        <w:rPr>
          <w:noProof/>
        </w:rPr>
        <w:drawing>
          <wp:inline distT="0" distB="0" distL="0" distR="0" wp14:anchorId="534C4FB7" wp14:editId="424C4265">
            <wp:extent cx="457200" cy="457200"/>
            <wp:effectExtent l="0" t="0" r="0" b="0"/>
            <wp:docPr id="10" name="Graphic 10" descr="Alterations &amp; Tailorin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57200" cy="457200"/>
                    </a:xfrm>
                    <a:prstGeom prst="rect">
                      <a:avLst/>
                    </a:prstGeom>
                  </pic:spPr>
                </pic:pic>
              </a:graphicData>
            </a:graphic>
          </wp:inline>
        </w:drawing>
      </w:r>
      <w:r>
        <w:t xml:space="preserve"> 3 MEASURES</w:t>
      </w:r>
    </w:p>
    <w:p w14:paraId="5AB1143B" w14:textId="77777777" w:rsidR="00887669" w:rsidRPr="000768FE" w:rsidRDefault="00887669" w:rsidP="00887669">
      <w:r>
        <w:t>Practices using the</w:t>
      </w:r>
      <w:r w:rsidRPr="000768FE">
        <w:t xml:space="preserve"> One Care Continuity of Care</w:t>
      </w:r>
      <w:r>
        <w:t xml:space="preserve"> Tool look at 3 measures:</w:t>
      </w:r>
    </w:p>
    <w:p w14:paraId="554AF315" w14:textId="18FE0F71" w:rsidR="00A507D4" w:rsidRPr="00A507D4" w:rsidRDefault="00887669" w:rsidP="00A507D4">
      <w:pPr>
        <w:pStyle w:val="ListParagraph"/>
        <w:numPr>
          <w:ilvl w:val="0"/>
          <w:numId w:val="7"/>
        </w:numPr>
        <w:ind w:left="360"/>
      </w:pPr>
      <w:r w:rsidRPr="001610ED">
        <w:t xml:space="preserve">the </w:t>
      </w:r>
      <w:r w:rsidRPr="00A507D4">
        <w:rPr>
          <w:b/>
          <w:bCs/>
        </w:rPr>
        <w:t>number of frequent attenders</w:t>
      </w:r>
      <w:r w:rsidRPr="001610ED">
        <w:t xml:space="preserve"> at the practice during the past 12 months and their </w:t>
      </w:r>
      <w:r w:rsidRPr="00A507D4">
        <w:rPr>
          <w:b/>
          <w:bCs/>
        </w:rPr>
        <w:t>consumption of appointments</w:t>
      </w:r>
      <w:r w:rsidR="00E775E4">
        <w:rPr>
          <w:b/>
          <w:bCs/>
        </w:rPr>
        <w:t>.</w:t>
      </w:r>
      <w:r w:rsidR="002E6BDF">
        <w:rPr>
          <w:b/>
          <w:bCs/>
        </w:rPr>
        <w:t xml:space="preserve">  </w:t>
      </w:r>
      <w:r w:rsidR="002E6BDF">
        <w:t>You can compare your results to those practices that participated in the One Care project.</w:t>
      </w:r>
    </w:p>
    <w:p w14:paraId="69F6FC0A" w14:textId="77777777" w:rsidR="00A507D4" w:rsidRPr="00A507D4" w:rsidRDefault="00A507D4" w:rsidP="00A507D4">
      <w:pPr>
        <w:pStyle w:val="ListParagraph"/>
        <w:numPr>
          <w:ilvl w:val="0"/>
          <w:numId w:val="0"/>
        </w:numPr>
        <w:ind w:left="360"/>
      </w:pPr>
    </w:p>
    <w:p w14:paraId="11A553A3" w14:textId="37878ED4" w:rsidR="00A507D4" w:rsidRPr="00A507D4" w:rsidRDefault="00887669" w:rsidP="00A507D4">
      <w:pPr>
        <w:pStyle w:val="ListParagraph"/>
        <w:numPr>
          <w:ilvl w:val="0"/>
          <w:numId w:val="7"/>
        </w:numPr>
        <w:ind w:left="360"/>
      </w:pPr>
      <w:r w:rsidRPr="001610ED">
        <w:t xml:space="preserve">frequent attenders with very high appointments and </w:t>
      </w:r>
      <w:r w:rsidRPr="001E7633">
        <w:t>very</w:t>
      </w:r>
      <w:r w:rsidRPr="00A507D4">
        <w:rPr>
          <w:b/>
          <w:bCs/>
        </w:rPr>
        <w:t xml:space="preserve"> low continuity </w:t>
      </w:r>
      <w:r w:rsidRPr="001E7633">
        <w:t>and</w:t>
      </w:r>
      <w:r w:rsidR="002E6BDF">
        <w:t xml:space="preserve"> who are</w:t>
      </w:r>
      <w:r w:rsidRPr="001E7633">
        <w:t xml:space="preserve"> </w:t>
      </w:r>
      <w:r w:rsidRPr="00A507D4">
        <w:rPr>
          <w:b/>
          <w:bCs/>
        </w:rPr>
        <w:t>circulating through the GP team.</w:t>
      </w:r>
    </w:p>
    <w:p w14:paraId="52171059" w14:textId="77777777" w:rsidR="00A507D4" w:rsidRDefault="00A507D4" w:rsidP="00A507D4">
      <w:pPr>
        <w:pStyle w:val="ListParagraph"/>
        <w:numPr>
          <w:ilvl w:val="0"/>
          <w:numId w:val="0"/>
        </w:numPr>
        <w:ind w:left="360"/>
      </w:pPr>
    </w:p>
    <w:p w14:paraId="462BA3A4" w14:textId="0E86527C" w:rsidR="00887669" w:rsidRPr="00295ECA" w:rsidRDefault="00887669" w:rsidP="00A507D4">
      <w:pPr>
        <w:pStyle w:val="ListParagraph"/>
        <w:numPr>
          <w:ilvl w:val="0"/>
          <w:numId w:val="7"/>
        </w:numPr>
        <w:ind w:left="360"/>
      </w:pPr>
      <w:r w:rsidRPr="001E7633">
        <w:t xml:space="preserve">the </w:t>
      </w:r>
      <w:r w:rsidRPr="00A507D4">
        <w:rPr>
          <w:b/>
          <w:bCs/>
        </w:rPr>
        <w:t>distribution o</w:t>
      </w:r>
      <w:r w:rsidRPr="001E7633">
        <w:t>f frequent attenders across the GP workforce</w:t>
      </w:r>
      <w:r>
        <w:t xml:space="preserve"> checking if some GPs are</w:t>
      </w:r>
      <w:r w:rsidRPr="001E7633">
        <w:t xml:space="preserve"> bearing the lion’s share of frequent attenders.</w:t>
      </w:r>
    </w:p>
    <w:p w14:paraId="6564F2DA" w14:textId="77777777" w:rsidR="00A507D4" w:rsidRDefault="00A507D4" w:rsidP="00A507D4"/>
    <w:p w14:paraId="6653D272" w14:textId="033F8E94" w:rsidR="00887669" w:rsidRDefault="00AC1944" w:rsidP="00887669">
      <w:pPr>
        <w:pStyle w:val="Heading1"/>
      </w:pPr>
      <w:hyperlink r:id="rId17" w:history="1"/>
      <w:r w:rsidR="00887669">
        <w:br w:type="page"/>
      </w:r>
    </w:p>
    <w:p w14:paraId="5E6A7DF2" w14:textId="4774C91A" w:rsidR="00887669" w:rsidRPr="00857EA0" w:rsidRDefault="00887669" w:rsidP="00887669">
      <w:pPr>
        <w:pStyle w:val="Heading1"/>
        <w:rPr>
          <w:u w:val="single"/>
        </w:rPr>
      </w:pPr>
      <w:r>
        <w:rPr>
          <w:noProof/>
        </w:rPr>
        <w:lastRenderedPageBreak/>
        <w:drawing>
          <wp:inline distT="0" distB="0" distL="0" distR="0" wp14:anchorId="47E4081F" wp14:editId="552922B6">
            <wp:extent cx="464820" cy="464820"/>
            <wp:effectExtent l="0" t="0" r="0" b="0"/>
            <wp:docPr id="11" name="Graphic 11" descr="Daily calend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64820" cy="464820"/>
                    </a:xfrm>
                    <a:prstGeom prst="rect">
                      <a:avLst/>
                    </a:prstGeom>
                  </pic:spPr>
                </pic:pic>
              </a:graphicData>
            </a:graphic>
          </wp:inline>
        </w:drawing>
      </w:r>
      <w:r>
        <w:t>3 MONTHLY</w:t>
      </w:r>
    </w:p>
    <w:p w14:paraId="366E955D" w14:textId="77777777" w:rsidR="00887669" w:rsidRPr="00857EA0" w:rsidRDefault="00887669" w:rsidP="00887669">
      <w:pPr>
        <w:rPr>
          <w:bCs/>
        </w:rPr>
      </w:pPr>
      <w:r w:rsidRPr="00857EA0">
        <w:rPr>
          <w:bCs/>
        </w:rPr>
        <w:t>Identify patients who have had a consultation 6 or more times in the past 3 months.</w:t>
      </w:r>
    </w:p>
    <w:p w14:paraId="4B64F291" w14:textId="6E3E728F" w:rsidR="00887669" w:rsidRDefault="00887669" w:rsidP="00887669">
      <w:r>
        <w:t>R</w:t>
      </w:r>
      <w:r w:rsidRPr="001E7633">
        <w:t>eview each patient</w:t>
      </w:r>
      <w:r>
        <w:t>,</w:t>
      </w:r>
      <w:r w:rsidRPr="001E7633">
        <w:t xml:space="preserve"> separating out who </w:t>
      </w:r>
      <w:r>
        <w:t xml:space="preserve">are the </w:t>
      </w:r>
      <w:r w:rsidRPr="001E7633">
        <w:t xml:space="preserve">patients </w:t>
      </w:r>
      <w:r>
        <w:t>with a genuine need</w:t>
      </w:r>
      <w:r w:rsidRPr="001E7633">
        <w:t xml:space="preserve"> to attend frequently due to </w:t>
      </w:r>
      <w:r>
        <w:t>ongoing condition/</w:t>
      </w:r>
      <w:r w:rsidRPr="001E7633">
        <w:t xml:space="preserve">treatment and who are frequent attenders </w:t>
      </w:r>
      <w:r w:rsidRPr="00857EA0">
        <w:t>who need support</w:t>
      </w:r>
      <w:r>
        <w:t xml:space="preserve"> to </w:t>
      </w:r>
      <w:r w:rsidR="00A507D4">
        <w:t>lessen</w:t>
      </w:r>
      <w:r>
        <w:t xml:space="preserve"> their frequency of attendance</w:t>
      </w:r>
      <w:r w:rsidRPr="00857EA0">
        <w:t>.</w:t>
      </w:r>
    </w:p>
    <w:p w14:paraId="7ABA8016" w14:textId="77777777" w:rsidR="00887669" w:rsidRDefault="00887669" w:rsidP="00887669">
      <w:r>
        <w:t xml:space="preserve">The aim is to improve patient experience and outcomes by lowering time to diagnosis and avoiding these patients becoming persistent frequent attenders. </w:t>
      </w:r>
    </w:p>
    <w:p w14:paraId="7AAF7D7D" w14:textId="77777777" w:rsidR="00A30FF5" w:rsidRDefault="00A30FF5" w:rsidP="1914FAE5">
      <w:pPr>
        <w:rPr>
          <w:rFonts w:eastAsia="Calibri"/>
          <w:color w:val="32559E" w:themeColor="accent6"/>
        </w:rPr>
      </w:pPr>
    </w:p>
    <w:p w14:paraId="505A39F9" w14:textId="2D668940" w:rsidR="00A30FF5" w:rsidRDefault="002E6BDF" w:rsidP="1914FAE5">
      <w:pPr>
        <w:rPr>
          <w:rFonts w:eastAsia="Calibri"/>
          <w:color w:val="32559E" w:themeColor="accent6"/>
        </w:rPr>
      </w:pPr>
      <w:r>
        <w:rPr>
          <w:rFonts w:eastAsia="Calibri"/>
          <w:color w:val="32559E" w:themeColor="accent6"/>
        </w:rPr>
        <w:t>Notes:</w:t>
      </w:r>
    </w:p>
    <w:p w14:paraId="7B690067" w14:textId="5F4602EB" w:rsidR="44C914B9" w:rsidRDefault="44C914B9" w:rsidP="1914FAE5">
      <w:pPr>
        <w:rPr>
          <w:rFonts w:eastAsia="Calibri"/>
          <w:color w:val="32559E" w:themeColor="accent6"/>
        </w:rPr>
      </w:pPr>
      <w:r w:rsidRPr="1914FAE5">
        <w:rPr>
          <w:rFonts w:eastAsia="Calibri"/>
          <w:color w:val="32559E" w:themeColor="accent6"/>
        </w:rPr>
        <w:t>Bristol practices used the Usual GP Tool to support the work to improve continuity for frequent attenders.</w:t>
      </w:r>
      <w:r w:rsidR="002E6BDF">
        <w:rPr>
          <w:rFonts w:eastAsia="Calibri"/>
          <w:color w:val="32559E" w:themeColor="accent6"/>
        </w:rPr>
        <w:t xml:space="preserve">  The accompanying guide includes the benchmarking data.</w:t>
      </w:r>
    </w:p>
    <w:p w14:paraId="3B2AF59E" w14:textId="306EE42B" w:rsidR="44C914B9" w:rsidRDefault="44C914B9" w:rsidP="1914FAE5">
      <w:pPr>
        <w:rPr>
          <w:rFonts w:eastAsia="Calibri"/>
          <w:color w:val="32559E" w:themeColor="accent6"/>
        </w:rPr>
      </w:pPr>
      <w:r w:rsidRPr="1914FAE5">
        <w:rPr>
          <w:rFonts w:eastAsia="Calibri"/>
          <w:color w:val="32559E" w:themeColor="accent6"/>
        </w:rPr>
        <w:t xml:space="preserve">With thanks to Dr Hyunkee Kim, Dr Mark </w:t>
      </w:r>
      <w:proofErr w:type="spellStart"/>
      <w:r w:rsidRPr="1914FAE5">
        <w:rPr>
          <w:rFonts w:eastAsia="Calibri"/>
          <w:color w:val="32559E" w:themeColor="accent6"/>
        </w:rPr>
        <w:t>Rickenbach</w:t>
      </w:r>
      <w:proofErr w:type="spellEnd"/>
      <w:r w:rsidRPr="1914FAE5">
        <w:rPr>
          <w:rFonts w:eastAsia="Calibri"/>
          <w:color w:val="32559E" w:themeColor="accent6"/>
        </w:rPr>
        <w:t xml:space="preserve"> and Dr Rebecca Rosen</w:t>
      </w:r>
    </w:p>
    <w:p w14:paraId="0FDDCAC0" w14:textId="1B98C149" w:rsidR="00887669" w:rsidRPr="00887669" w:rsidRDefault="00887669" w:rsidP="00887669"/>
    <w:p w14:paraId="7AA2EB46" w14:textId="7641EF42" w:rsidR="001C370E" w:rsidRDefault="00380785" w:rsidP="008C52CF">
      <w:r>
        <w:t xml:space="preserve"> </w:t>
      </w:r>
    </w:p>
    <w:p w14:paraId="6798AC70" w14:textId="587478DD" w:rsidR="001C370E" w:rsidRDefault="001C370E"/>
    <w:sectPr w:rsidR="001C370E" w:rsidSect="00887669">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8DDE3" w14:textId="77777777" w:rsidR="00ED4592" w:rsidRDefault="00ED4592" w:rsidP="007A6D5C">
      <w:r>
        <w:separator/>
      </w:r>
    </w:p>
  </w:endnote>
  <w:endnote w:type="continuationSeparator" w:id="0">
    <w:p w14:paraId="7D64763F" w14:textId="77777777" w:rsidR="00ED4592" w:rsidRDefault="00ED4592" w:rsidP="007A6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C5EC8" w14:textId="7F4670BB" w:rsidR="007A6D5E" w:rsidRDefault="00E1386D" w:rsidP="00E1386D">
    <w:pPr>
      <w:pStyle w:val="Footer"/>
      <w:jc w:val="right"/>
    </w:pPr>
    <w:r>
      <w:t xml:space="preserve">Page </w:t>
    </w:r>
    <w:r>
      <w:fldChar w:fldCharType="begin"/>
    </w:r>
    <w:r>
      <w:instrText xml:space="preserve"> PAGE   \* MERGEFORMAT </w:instrText>
    </w:r>
    <w:r>
      <w:fldChar w:fldCharType="separate"/>
    </w:r>
    <w:r w:rsidR="00A507D4">
      <w:rPr>
        <w:noProof/>
      </w:rPr>
      <w:t>2</w:t>
    </w:r>
    <w:r>
      <w:fldChar w:fldCharType="end"/>
    </w:r>
    <w:r>
      <w:t xml:space="preserve"> of </w:t>
    </w:r>
    <w:r w:rsidR="00AC1944">
      <w:fldChar w:fldCharType="begin"/>
    </w:r>
    <w:r w:rsidR="00AC1944">
      <w:instrText>NUMPAGES   \* MERGEFORMAT</w:instrText>
    </w:r>
    <w:r w:rsidR="00AC1944">
      <w:fldChar w:fldCharType="separate"/>
    </w:r>
    <w:r w:rsidR="00A507D4">
      <w:rPr>
        <w:noProof/>
      </w:rPr>
      <w:t>3</w:t>
    </w:r>
    <w:r w:rsidR="00AC194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E7CCD" w14:textId="77777777" w:rsidR="00ED4592" w:rsidRDefault="00ED4592" w:rsidP="007A6D5C">
      <w:r>
        <w:separator/>
      </w:r>
    </w:p>
  </w:footnote>
  <w:footnote w:type="continuationSeparator" w:id="0">
    <w:p w14:paraId="0E5000D6" w14:textId="77777777" w:rsidR="00ED4592" w:rsidRDefault="00ED4592" w:rsidP="007A6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814E6" w14:textId="4C5FBC34" w:rsidR="00402FF8" w:rsidRDefault="00402FF8">
    <w:pPr>
      <w:pStyle w:val="Header"/>
    </w:pPr>
    <w:r w:rsidRPr="007A6D5E">
      <w:rPr>
        <w:noProof/>
        <w:lang w:eastAsia="en-GB"/>
      </w:rPr>
      <w:drawing>
        <wp:anchor distT="0" distB="0" distL="114300" distR="114300" simplePos="0" relativeHeight="251656192" behindDoc="1" locked="0" layoutInCell="1" allowOverlap="1" wp14:anchorId="38530EE8" wp14:editId="72E152B2">
          <wp:simplePos x="0" y="0"/>
          <wp:positionH relativeFrom="column">
            <wp:posOffset>1869440</wp:posOffset>
          </wp:positionH>
          <wp:positionV relativeFrom="paragraph">
            <wp:posOffset>7357110</wp:posOffset>
          </wp:positionV>
          <wp:extent cx="5218430" cy="2882900"/>
          <wp:effectExtent l="0" t="0" r="127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1">
                    <a:clrChange>
                      <a:clrFrom>
                        <a:srgbClr val="000000">
                          <a:alpha val="0"/>
                        </a:srgbClr>
                      </a:clrFrom>
                      <a:clrTo>
                        <a:srgbClr val="000000">
                          <a:alpha val="0"/>
                        </a:srgbClr>
                      </a:clrTo>
                    </a:clrChange>
                    <a:duotone>
                      <a:prstClr val="black"/>
                      <a:srgbClr val="FFDDFF">
                        <a:tint val="45000"/>
                        <a:satMod val="400000"/>
                      </a:srgbClr>
                    </a:duotone>
                    <a:extLst>
                      <a:ext uri="{BEBA8EAE-BF5A-486C-A8C5-ECC9F3942E4B}">
                        <a14:imgProps xmlns:a14="http://schemas.microsoft.com/office/drawing/2010/main">
                          <a14:imgLayer r:embed="rId2">
                            <a14:imgEffect>
                              <a14:backgroundRemoval t="48519" b="100000" l="47708" r="100000"/>
                            </a14:imgEffect>
                            <a14:imgEffect>
                              <a14:saturation sat="120000"/>
                            </a14:imgEffect>
                          </a14:imgLayer>
                        </a14:imgProps>
                      </a:ext>
                      <a:ext uri="{28A0092B-C50C-407E-A947-70E740481C1C}">
                        <a14:useLocalDpi xmlns:a14="http://schemas.microsoft.com/office/drawing/2010/main" val="0"/>
                      </a:ext>
                    </a:extLst>
                  </a:blip>
                  <a:srcRect l="47709" t="48642"/>
                  <a:stretch/>
                </pic:blipFill>
                <pic:spPr>
                  <a:xfrm>
                    <a:off x="0" y="0"/>
                    <a:ext cx="5218430" cy="2882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25AE"/>
    <w:multiLevelType w:val="hybridMultilevel"/>
    <w:tmpl w:val="EF9E3406"/>
    <w:lvl w:ilvl="0" w:tplc="C5C4A094">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13002D88"/>
    <w:multiLevelType w:val="hybridMultilevel"/>
    <w:tmpl w:val="7088B578"/>
    <w:lvl w:ilvl="0" w:tplc="511E5064">
      <w:start w:val="1"/>
      <w:numFmt w:val="bullet"/>
      <w:pStyle w:val="ListParagraph"/>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EF3BB4"/>
    <w:multiLevelType w:val="hybridMultilevel"/>
    <w:tmpl w:val="A2D428C4"/>
    <w:lvl w:ilvl="0" w:tplc="E7509E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0E744F"/>
    <w:multiLevelType w:val="hybridMultilevel"/>
    <w:tmpl w:val="09B84ABA"/>
    <w:lvl w:ilvl="0" w:tplc="96D4C5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2E36C6A"/>
    <w:multiLevelType w:val="hybridMultilevel"/>
    <w:tmpl w:val="00E0C938"/>
    <w:lvl w:ilvl="0" w:tplc="3C1C568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050CEF"/>
    <w:multiLevelType w:val="hybridMultilevel"/>
    <w:tmpl w:val="DDD26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1764AE"/>
    <w:multiLevelType w:val="hybridMultilevel"/>
    <w:tmpl w:val="64B4A5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3A7142"/>
    <w:multiLevelType w:val="hybridMultilevel"/>
    <w:tmpl w:val="5DDAC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C04721"/>
    <w:multiLevelType w:val="hybridMultilevel"/>
    <w:tmpl w:val="FAF8A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A0157B"/>
    <w:multiLevelType w:val="hybridMultilevel"/>
    <w:tmpl w:val="BE2C5856"/>
    <w:lvl w:ilvl="0" w:tplc="6D944372">
      <w:start w:val="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6"/>
  </w:num>
  <w:num w:numId="5">
    <w:abstractNumId w:val="8"/>
  </w:num>
  <w:num w:numId="6">
    <w:abstractNumId w:val="4"/>
  </w:num>
  <w:num w:numId="7">
    <w:abstractNumId w:val="5"/>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D5E"/>
    <w:rsid w:val="00020E34"/>
    <w:rsid w:val="00026152"/>
    <w:rsid w:val="0005168A"/>
    <w:rsid w:val="0006166E"/>
    <w:rsid w:val="00076DFD"/>
    <w:rsid w:val="00085BA2"/>
    <w:rsid w:val="000C04FA"/>
    <w:rsid w:val="000C7C04"/>
    <w:rsid w:val="000D3B67"/>
    <w:rsid w:val="000D7621"/>
    <w:rsid w:val="00101385"/>
    <w:rsid w:val="00104F1D"/>
    <w:rsid w:val="001610ED"/>
    <w:rsid w:val="001953BF"/>
    <w:rsid w:val="001C370E"/>
    <w:rsid w:val="001E7633"/>
    <w:rsid w:val="001F77E9"/>
    <w:rsid w:val="002242D4"/>
    <w:rsid w:val="0027444C"/>
    <w:rsid w:val="002748B5"/>
    <w:rsid w:val="00295BB4"/>
    <w:rsid w:val="002E6BDF"/>
    <w:rsid w:val="003632F7"/>
    <w:rsid w:val="00365422"/>
    <w:rsid w:val="003660E9"/>
    <w:rsid w:val="00380785"/>
    <w:rsid w:val="003D6AB5"/>
    <w:rsid w:val="003F2A0B"/>
    <w:rsid w:val="00402FF8"/>
    <w:rsid w:val="00413002"/>
    <w:rsid w:val="00431AEB"/>
    <w:rsid w:val="00442C9F"/>
    <w:rsid w:val="00453FCB"/>
    <w:rsid w:val="00493F0F"/>
    <w:rsid w:val="004B7750"/>
    <w:rsid w:val="004C4755"/>
    <w:rsid w:val="00505E06"/>
    <w:rsid w:val="0058657A"/>
    <w:rsid w:val="005E0DAD"/>
    <w:rsid w:val="005F6905"/>
    <w:rsid w:val="00615915"/>
    <w:rsid w:val="00624129"/>
    <w:rsid w:val="006861AE"/>
    <w:rsid w:val="00703CEF"/>
    <w:rsid w:val="00712DC8"/>
    <w:rsid w:val="007276A3"/>
    <w:rsid w:val="00766A9B"/>
    <w:rsid w:val="007A6D5C"/>
    <w:rsid w:val="007A6D5E"/>
    <w:rsid w:val="007F7F41"/>
    <w:rsid w:val="00810D8D"/>
    <w:rsid w:val="00857EA0"/>
    <w:rsid w:val="00887669"/>
    <w:rsid w:val="008C52CF"/>
    <w:rsid w:val="009436C7"/>
    <w:rsid w:val="00A30FF5"/>
    <w:rsid w:val="00A45D33"/>
    <w:rsid w:val="00A507D4"/>
    <w:rsid w:val="00A50E16"/>
    <w:rsid w:val="00AF7467"/>
    <w:rsid w:val="00B76AEE"/>
    <w:rsid w:val="00B821FC"/>
    <w:rsid w:val="00BA56C3"/>
    <w:rsid w:val="00BD674F"/>
    <w:rsid w:val="00BF25E7"/>
    <w:rsid w:val="00C033FE"/>
    <w:rsid w:val="00C1133B"/>
    <w:rsid w:val="00C136E3"/>
    <w:rsid w:val="00C174FD"/>
    <w:rsid w:val="00D274B8"/>
    <w:rsid w:val="00D86285"/>
    <w:rsid w:val="00D93D61"/>
    <w:rsid w:val="00DB58D3"/>
    <w:rsid w:val="00DE3823"/>
    <w:rsid w:val="00DE747B"/>
    <w:rsid w:val="00E1386D"/>
    <w:rsid w:val="00E775E4"/>
    <w:rsid w:val="00E900BF"/>
    <w:rsid w:val="00EC7120"/>
    <w:rsid w:val="00ED4592"/>
    <w:rsid w:val="00EE604B"/>
    <w:rsid w:val="00EF7205"/>
    <w:rsid w:val="00F01E9D"/>
    <w:rsid w:val="00F24709"/>
    <w:rsid w:val="00F408D8"/>
    <w:rsid w:val="00F6336B"/>
    <w:rsid w:val="00F65C95"/>
    <w:rsid w:val="00F859C3"/>
    <w:rsid w:val="00FA3CA7"/>
    <w:rsid w:val="00FB289E"/>
    <w:rsid w:val="14E1132D"/>
    <w:rsid w:val="17AC80FA"/>
    <w:rsid w:val="1914FAE5"/>
    <w:rsid w:val="1D2FED11"/>
    <w:rsid w:val="44C914B9"/>
    <w:rsid w:val="72D72B76"/>
    <w:rsid w:val="7B3547F3"/>
    <w:rsid w:val="7CD11854"/>
    <w:rsid w:val="7FE04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C7405C"/>
  <w15:docId w15:val="{740BD269-3E1F-42B4-A24A-FE4E6387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D5C"/>
    <w:rPr>
      <w:rFonts w:ascii="Franklin Gothic Book" w:hAnsi="Franklin Gothic Book"/>
      <w:color w:val="32559E" w:themeColor="text2"/>
    </w:rPr>
  </w:style>
  <w:style w:type="paragraph" w:styleId="Heading1">
    <w:name w:val="heading 1"/>
    <w:basedOn w:val="Normal"/>
    <w:next w:val="Normal"/>
    <w:link w:val="Heading1Char"/>
    <w:uiPriority w:val="9"/>
    <w:qFormat/>
    <w:rsid w:val="0027444C"/>
    <w:pPr>
      <w:keepNext/>
      <w:keepLines/>
      <w:spacing w:before="280" w:after="0"/>
      <w:outlineLvl w:val="0"/>
    </w:pPr>
    <w:rPr>
      <w:rFonts w:ascii="Franklin Gothic Demi" w:eastAsiaTheme="majorEastAsia" w:hAnsi="Franklin Gothic Demi" w:cstheme="majorBidi"/>
      <w:bCs/>
      <w:color w:val="B366B3" w:themeColor="accent2"/>
      <w:sz w:val="32"/>
      <w:szCs w:val="28"/>
    </w:rPr>
  </w:style>
  <w:style w:type="paragraph" w:styleId="Heading2">
    <w:name w:val="heading 2"/>
    <w:basedOn w:val="Normal"/>
    <w:next w:val="Normal"/>
    <w:link w:val="Heading2Char"/>
    <w:uiPriority w:val="9"/>
    <w:unhideWhenUsed/>
    <w:qFormat/>
    <w:rsid w:val="0027444C"/>
    <w:pPr>
      <w:keepNext/>
      <w:keepLines/>
      <w:spacing w:before="160" w:after="0"/>
      <w:outlineLvl w:val="1"/>
    </w:pPr>
    <w:rPr>
      <w:rFonts w:ascii="Franklin Gothic Demi" w:eastAsiaTheme="majorEastAsia" w:hAnsi="Franklin Gothic Demi" w:cstheme="majorBidi"/>
      <w:bCs/>
      <w:color w:val="7593D3" w:themeColor="text2" w:themeTint="99"/>
      <w:sz w:val="28"/>
      <w:szCs w:val="26"/>
    </w:rPr>
  </w:style>
  <w:style w:type="paragraph" w:styleId="Heading3">
    <w:name w:val="heading 3"/>
    <w:basedOn w:val="Normal"/>
    <w:next w:val="Normal"/>
    <w:link w:val="Heading3Char"/>
    <w:uiPriority w:val="9"/>
    <w:unhideWhenUsed/>
    <w:qFormat/>
    <w:rsid w:val="0027444C"/>
    <w:pPr>
      <w:keepNext/>
      <w:keepLines/>
      <w:spacing w:before="120" w:after="0"/>
      <w:outlineLvl w:val="2"/>
    </w:pPr>
    <w:rPr>
      <w:rFonts w:eastAsiaTheme="majorEastAsia" w:cstheme="majorBidi"/>
      <w:b/>
      <w:bCs/>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D5E"/>
  </w:style>
  <w:style w:type="paragraph" w:styleId="Footer">
    <w:name w:val="footer"/>
    <w:basedOn w:val="Normal"/>
    <w:link w:val="FooterChar"/>
    <w:uiPriority w:val="99"/>
    <w:unhideWhenUsed/>
    <w:rsid w:val="007A6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D5E"/>
  </w:style>
  <w:style w:type="paragraph" w:styleId="BalloonText">
    <w:name w:val="Balloon Text"/>
    <w:basedOn w:val="Normal"/>
    <w:link w:val="BalloonTextChar"/>
    <w:uiPriority w:val="99"/>
    <w:semiHidden/>
    <w:unhideWhenUsed/>
    <w:rsid w:val="007A6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D5E"/>
    <w:rPr>
      <w:rFonts w:ascii="Tahoma" w:hAnsi="Tahoma" w:cs="Tahoma"/>
      <w:sz w:val="16"/>
      <w:szCs w:val="16"/>
    </w:rPr>
  </w:style>
  <w:style w:type="paragraph" w:styleId="Title">
    <w:name w:val="Title"/>
    <w:basedOn w:val="Normal"/>
    <w:next w:val="Normal"/>
    <w:link w:val="TitleChar"/>
    <w:uiPriority w:val="10"/>
    <w:qFormat/>
    <w:rsid w:val="007A6D5C"/>
    <w:pPr>
      <w:pBdr>
        <w:bottom w:val="single" w:sz="8" w:space="4" w:color="A50F93" w:themeColor="accent1"/>
      </w:pBdr>
      <w:spacing w:after="300" w:line="240" w:lineRule="auto"/>
      <w:contextualSpacing/>
    </w:pPr>
    <w:rPr>
      <w:rFonts w:ascii="Franklin Gothic Demi" w:eastAsiaTheme="majorEastAsia" w:hAnsi="Franklin Gothic Demi" w:cstheme="majorBidi"/>
      <w:color w:val="A50F93" w:themeColor="accent1"/>
      <w:spacing w:val="5"/>
      <w:kern w:val="28"/>
      <w:sz w:val="52"/>
      <w:szCs w:val="52"/>
    </w:rPr>
  </w:style>
  <w:style w:type="character" w:customStyle="1" w:styleId="TitleChar">
    <w:name w:val="Title Char"/>
    <w:basedOn w:val="DefaultParagraphFont"/>
    <w:link w:val="Title"/>
    <w:uiPriority w:val="10"/>
    <w:rsid w:val="007A6D5C"/>
    <w:rPr>
      <w:rFonts w:ascii="Franklin Gothic Demi" w:eastAsiaTheme="majorEastAsia" w:hAnsi="Franklin Gothic Demi" w:cstheme="majorBidi"/>
      <w:color w:val="A50F93" w:themeColor="accent1"/>
      <w:spacing w:val="5"/>
      <w:kern w:val="28"/>
      <w:sz w:val="52"/>
      <w:szCs w:val="52"/>
    </w:rPr>
  </w:style>
  <w:style w:type="character" w:customStyle="1" w:styleId="Heading1Char">
    <w:name w:val="Heading 1 Char"/>
    <w:basedOn w:val="DefaultParagraphFont"/>
    <w:link w:val="Heading1"/>
    <w:uiPriority w:val="9"/>
    <w:rsid w:val="0027444C"/>
    <w:rPr>
      <w:rFonts w:ascii="Franklin Gothic Demi" w:eastAsiaTheme="majorEastAsia" w:hAnsi="Franklin Gothic Demi" w:cstheme="majorBidi"/>
      <w:bCs/>
      <w:color w:val="B366B3" w:themeColor="accent2"/>
      <w:sz w:val="32"/>
      <w:szCs w:val="28"/>
    </w:rPr>
  </w:style>
  <w:style w:type="character" w:customStyle="1" w:styleId="Heading2Char">
    <w:name w:val="Heading 2 Char"/>
    <w:basedOn w:val="DefaultParagraphFont"/>
    <w:link w:val="Heading2"/>
    <w:uiPriority w:val="9"/>
    <w:rsid w:val="0027444C"/>
    <w:rPr>
      <w:rFonts w:ascii="Franklin Gothic Demi" w:eastAsiaTheme="majorEastAsia" w:hAnsi="Franklin Gothic Demi" w:cstheme="majorBidi"/>
      <w:bCs/>
      <w:color w:val="7593D3" w:themeColor="text2" w:themeTint="99"/>
      <w:sz w:val="28"/>
      <w:szCs w:val="26"/>
    </w:rPr>
  </w:style>
  <w:style w:type="character" w:customStyle="1" w:styleId="Heading3Char">
    <w:name w:val="Heading 3 Char"/>
    <w:basedOn w:val="DefaultParagraphFont"/>
    <w:link w:val="Heading3"/>
    <w:uiPriority w:val="9"/>
    <w:rsid w:val="0027444C"/>
    <w:rPr>
      <w:rFonts w:ascii="Franklin Gothic Book" w:eastAsiaTheme="majorEastAsia" w:hAnsi="Franklin Gothic Book" w:cstheme="majorBidi"/>
      <w:b/>
      <w:bCs/>
      <w:sz w:val="24"/>
    </w:rPr>
  </w:style>
  <w:style w:type="paragraph" w:styleId="ListParagraph">
    <w:name w:val="List Paragraph"/>
    <w:basedOn w:val="Normal"/>
    <w:uiPriority w:val="34"/>
    <w:qFormat/>
    <w:rsid w:val="00B76AEE"/>
    <w:pPr>
      <w:numPr>
        <w:numId w:val="1"/>
      </w:numPr>
      <w:spacing w:after="0" w:line="240" w:lineRule="auto"/>
      <w:contextualSpacing/>
    </w:pPr>
    <w:rPr>
      <w:rFonts w:eastAsiaTheme="minorEastAsia" w:cs="Times New Roman"/>
      <w:lang w:eastAsia="en-GB"/>
    </w:rPr>
  </w:style>
  <w:style w:type="character" w:styleId="Hyperlink">
    <w:name w:val="Hyperlink"/>
    <w:basedOn w:val="DefaultParagraphFont"/>
    <w:uiPriority w:val="99"/>
    <w:unhideWhenUsed/>
    <w:rsid w:val="001E7633"/>
    <w:rPr>
      <w:color w:val="0000FF" w:themeColor="hyperlink"/>
      <w:u w:val="single"/>
    </w:rPr>
  </w:style>
  <w:style w:type="character" w:customStyle="1" w:styleId="UnresolvedMention1">
    <w:name w:val="Unresolved Mention1"/>
    <w:basedOn w:val="DefaultParagraphFont"/>
    <w:uiPriority w:val="99"/>
    <w:semiHidden/>
    <w:unhideWhenUsed/>
    <w:rsid w:val="001E7633"/>
    <w:rPr>
      <w:color w:val="605E5C"/>
      <w:shd w:val="clear" w:color="auto" w:fill="E1DFDD"/>
    </w:rPr>
  </w:style>
  <w:style w:type="table" w:styleId="TableGrid">
    <w:name w:val="Table Grid"/>
    <w:basedOn w:val="TableNormal"/>
    <w:uiPriority w:val="59"/>
    <w:rsid w:val="001C370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42C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276A3"/>
    <w:rPr>
      <w:color w:val="605E5C"/>
      <w:shd w:val="clear" w:color="auto" w:fill="E1DFDD"/>
    </w:rPr>
  </w:style>
  <w:style w:type="character" w:styleId="CommentReference">
    <w:name w:val="annotation reference"/>
    <w:basedOn w:val="DefaultParagraphFont"/>
    <w:uiPriority w:val="99"/>
    <w:semiHidden/>
    <w:unhideWhenUsed/>
    <w:rsid w:val="000C04FA"/>
    <w:rPr>
      <w:sz w:val="16"/>
      <w:szCs w:val="16"/>
    </w:rPr>
  </w:style>
  <w:style w:type="paragraph" w:styleId="CommentText">
    <w:name w:val="annotation text"/>
    <w:basedOn w:val="Normal"/>
    <w:link w:val="CommentTextChar"/>
    <w:uiPriority w:val="99"/>
    <w:semiHidden/>
    <w:unhideWhenUsed/>
    <w:rsid w:val="000C04FA"/>
    <w:pPr>
      <w:spacing w:line="240" w:lineRule="auto"/>
    </w:pPr>
    <w:rPr>
      <w:sz w:val="20"/>
      <w:szCs w:val="20"/>
    </w:rPr>
  </w:style>
  <w:style w:type="character" w:customStyle="1" w:styleId="CommentTextChar">
    <w:name w:val="Comment Text Char"/>
    <w:basedOn w:val="DefaultParagraphFont"/>
    <w:link w:val="CommentText"/>
    <w:uiPriority w:val="99"/>
    <w:semiHidden/>
    <w:rsid w:val="000C04FA"/>
    <w:rPr>
      <w:rFonts w:ascii="Franklin Gothic Book" w:hAnsi="Franklin Gothic Book"/>
      <w:color w:val="32559E" w:themeColor="text2"/>
      <w:sz w:val="20"/>
      <w:szCs w:val="20"/>
    </w:rPr>
  </w:style>
  <w:style w:type="paragraph" w:styleId="CommentSubject">
    <w:name w:val="annotation subject"/>
    <w:basedOn w:val="CommentText"/>
    <w:next w:val="CommentText"/>
    <w:link w:val="CommentSubjectChar"/>
    <w:uiPriority w:val="99"/>
    <w:semiHidden/>
    <w:unhideWhenUsed/>
    <w:rsid w:val="000C04FA"/>
    <w:rPr>
      <w:b/>
      <w:bCs/>
    </w:rPr>
  </w:style>
  <w:style w:type="character" w:customStyle="1" w:styleId="CommentSubjectChar">
    <w:name w:val="Comment Subject Char"/>
    <w:basedOn w:val="CommentTextChar"/>
    <w:link w:val="CommentSubject"/>
    <w:uiPriority w:val="99"/>
    <w:semiHidden/>
    <w:rsid w:val="000C04FA"/>
    <w:rPr>
      <w:rFonts w:ascii="Franklin Gothic Book" w:hAnsi="Franklin Gothic Book"/>
      <w:b/>
      <w:bCs/>
      <w:color w:val="32559E" w:themeColor="text2"/>
      <w:sz w:val="20"/>
      <w:szCs w:val="20"/>
    </w:rPr>
  </w:style>
  <w:style w:type="character" w:styleId="FollowedHyperlink">
    <w:name w:val="FollowedHyperlink"/>
    <w:basedOn w:val="DefaultParagraphFont"/>
    <w:uiPriority w:val="99"/>
    <w:semiHidden/>
    <w:unhideWhenUsed/>
    <w:rsid w:val="006159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98107">
      <w:bodyDiv w:val="1"/>
      <w:marLeft w:val="0"/>
      <w:marRight w:val="0"/>
      <w:marTop w:val="0"/>
      <w:marBottom w:val="0"/>
      <w:divBdr>
        <w:top w:val="none" w:sz="0" w:space="0" w:color="auto"/>
        <w:left w:val="none" w:sz="0" w:space="0" w:color="auto"/>
        <w:bottom w:val="none" w:sz="0" w:space="0" w:color="auto"/>
        <w:right w:val="none" w:sz="0" w:space="0" w:color="auto"/>
      </w:divBdr>
    </w:div>
    <w:div w:id="570046983">
      <w:bodyDiv w:val="1"/>
      <w:marLeft w:val="0"/>
      <w:marRight w:val="0"/>
      <w:marTop w:val="0"/>
      <w:marBottom w:val="0"/>
      <w:divBdr>
        <w:top w:val="none" w:sz="0" w:space="0" w:color="auto"/>
        <w:left w:val="none" w:sz="0" w:space="0" w:color="auto"/>
        <w:bottom w:val="none" w:sz="0" w:space="0" w:color="auto"/>
        <w:right w:val="none" w:sz="0" w:space="0" w:color="auto"/>
      </w:divBdr>
    </w:div>
    <w:div w:id="189323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Julia.martineau@onecare.org.uk" TargetMode="External"/><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8.sv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jgp.org/content/61/586/346"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Continuity">
      <a:dk1>
        <a:srgbClr val="A50F93"/>
      </a:dk1>
      <a:lt1>
        <a:srgbClr val="F1E3F1"/>
      </a:lt1>
      <a:dk2>
        <a:srgbClr val="32559E"/>
      </a:dk2>
      <a:lt2>
        <a:srgbClr val="E1C1E1"/>
      </a:lt2>
      <a:accent1>
        <a:srgbClr val="A50F93"/>
      </a:accent1>
      <a:accent2>
        <a:srgbClr val="B366B3"/>
      </a:accent2>
      <a:accent3>
        <a:srgbClr val="CF9DCF"/>
      </a:accent3>
      <a:accent4>
        <a:srgbClr val="E1C1E1"/>
      </a:accent4>
      <a:accent5>
        <a:srgbClr val="F1E3F1"/>
      </a:accent5>
      <a:accent6>
        <a:srgbClr val="32559E"/>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983602A682BC4B85AAEC97ED7A213A" ma:contentTypeVersion="12" ma:contentTypeDescription="Create a new document." ma:contentTypeScope="" ma:versionID="02113cf347af5da4cda9348cd8f5daf2">
  <xsd:schema xmlns:xsd="http://www.w3.org/2001/XMLSchema" xmlns:xs="http://www.w3.org/2001/XMLSchema" xmlns:p="http://schemas.microsoft.com/office/2006/metadata/properties" xmlns:ns2="b2f522bf-5a60-44bf-b1c9-502145edce1d" xmlns:ns3="6c54bd8c-ca9d-4bb1-bb21-4e6fd6d684b1" targetNamespace="http://schemas.microsoft.com/office/2006/metadata/properties" ma:root="true" ma:fieldsID="5e198e94b692eadedb7b51b41956a115" ns2:_="" ns3:_="">
    <xsd:import namespace="b2f522bf-5a60-44bf-b1c9-502145edce1d"/>
    <xsd:import namespace="6c54bd8c-ca9d-4bb1-bb21-4e6fd6d684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522bf-5a60-44bf-b1c9-502145edc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54bd8c-ca9d-4bb1-bb21-4e6fd6d684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8783FC-0562-402F-8283-AE55D8175A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EE0C63-CB56-4558-A084-D6A13AF10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522bf-5a60-44bf-b1c9-502145edce1d"/>
    <ds:schemaRef ds:uri="6c54bd8c-ca9d-4bb1-bb21-4e6fd6d684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89C41C-1B90-49CD-A963-2C6A0087B3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4779</Characters>
  <Application>Microsoft Office Word</Application>
  <DocSecurity>0</DocSecurity>
  <Lines>39</Lines>
  <Paragraphs>11</Paragraphs>
  <ScaleCrop>false</ScaleCrop>
  <Company>UHMB</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Martineau</dc:creator>
  <cp:keywords>One Care CIC</cp:keywords>
  <cp:lastModifiedBy>Julia Martineau</cp:lastModifiedBy>
  <cp:revision>2</cp:revision>
  <cp:lastPrinted>2021-02-24T11:09:00Z</cp:lastPrinted>
  <dcterms:created xsi:type="dcterms:W3CDTF">2021-07-02T12:30:00Z</dcterms:created>
  <dcterms:modified xsi:type="dcterms:W3CDTF">2021-07-02T12:30:00Z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0x010100CD983602A682BC4B85AAEC97ED7A213A</vt:lpwstr>
  </property>
</Properties>
</file>