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Pr="00136540" w:rsidR="00142A2D" w:rsidP="00733804" w:rsidRDefault="00F13B98" w14:paraId="76D5D14E" w14:textId="77777777">
      <w:pPr>
        <w:pStyle w:val="Body"/>
        <w:spacing w:before="120" w:line="288" w:lineRule="auto"/>
        <w:rPr>
          <w:rFonts w:ascii="Arial" w:hAnsi="Arial" w:cs="Arial"/>
          <w:b/>
          <w:bCs/>
          <w:color w:val="005392"/>
          <w:sz w:val="28"/>
          <w:szCs w:val="28"/>
        </w:rPr>
      </w:pPr>
      <w:r w:rsidRPr="00136540">
        <w:rPr>
          <w:rFonts w:ascii="Arial" w:hAnsi="Arial" w:cs="Arial"/>
          <w:b/>
          <w:bCs/>
          <w:noProof/>
          <w:color w:val="005392"/>
          <w:sz w:val="28"/>
          <w:szCs w:val="28"/>
        </w:rPr>
        <w:drawing>
          <wp:inline distT="0" distB="0" distL="0" distR="0" wp14:anchorId="22EF8FCF" wp14:editId="5B6CB437">
            <wp:extent cx="2524495" cy="800481"/>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0"/>
                    <a:stretch>
                      <a:fillRect/>
                    </a:stretch>
                  </pic:blipFill>
                  <pic:spPr>
                    <a:xfrm>
                      <a:off x="0" y="0"/>
                      <a:ext cx="2524495" cy="800481"/>
                    </a:xfrm>
                    <a:prstGeom prst="rect">
                      <a:avLst/>
                    </a:prstGeom>
                    <a:ln w="12700" cap="flat">
                      <a:noFill/>
                      <a:miter lim="400000"/>
                    </a:ln>
                    <a:effectLst/>
                  </pic:spPr>
                </pic:pic>
              </a:graphicData>
            </a:graphic>
          </wp:inline>
        </w:drawing>
      </w:r>
    </w:p>
    <w:p w:rsidRPr="00136540" w:rsidR="00142A2D" w:rsidP="00733804" w:rsidRDefault="00142A2D" w14:paraId="03CB900E" w14:textId="77777777">
      <w:pPr>
        <w:pStyle w:val="Body"/>
        <w:spacing w:before="120" w:line="288" w:lineRule="auto"/>
        <w:rPr>
          <w:rFonts w:ascii="Arial" w:hAnsi="Arial" w:cs="Arial"/>
          <w:b/>
          <w:bCs/>
          <w:color w:val="005392"/>
          <w:sz w:val="28"/>
          <w:szCs w:val="28"/>
        </w:rPr>
      </w:pPr>
    </w:p>
    <w:p w:rsidRPr="0062792F" w:rsidR="00142A2D" w:rsidP="25055E6A" w:rsidRDefault="5BA6C8CE" w14:paraId="33622029" w14:textId="044ABA9E">
      <w:pPr>
        <w:pStyle w:val="Body"/>
        <w:spacing w:before="120" w:line="288" w:lineRule="auto"/>
        <w:rPr>
          <w:rFonts w:ascii="Arial" w:hAnsi="Arial" w:eastAsia="Arial" w:cs="Arial"/>
          <w:color w:val="005392"/>
          <w:sz w:val="32"/>
          <w:szCs w:val="32"/>
        </w:rPr>
      </w:pPr>
      <w:r w:rsidRPr="0062792F">
        <w:rPr>
          <w:rFonts w:ascii="Arial" w:hAnsi="Arial" w:eastAsia="Arial" w:cs="Arial"/>
          <w:color w:val="005392"/>
          <w:sz w:val="32"/>
          <w:szCs w:val="32"/>
          <w:lang w:val="en-US"/>
        </w:rPr>
        <w:t>GP</w:t>
      </w:r>
      <w:r w:rsidRPr="0062792F" w:rsidR="243A22D5">
        <w:rPr>
          <w:rFonts w:ascii="Arial" w:hAnsi="Arial" w:eastAsia="Arial" w:cs="Arial"/>
          <w:color w:val="005392"/>
          <w:sz w:val="32"/>
          <w:szCs w:val="32"/>
          <w:lang w:val="en-US"/>
        </w:rPr>
        <w:t xml:space="preserve"> Online</w:t>
      </w:r>
      <w:r w:rsidRPr="0062792F">
        <w:rPr>
          <w:rFonts w:ascii="Arial" w:hAnsi="Arial" w:eastAsia="Arial" w:cs="Arial"/>
          <w:color w:val="005392"/>
          <w:sz w:val="32"/>
          <w:szCs w:val="32"/>
          <w:lang w:val="en-US"/>
        </w:rPr>
        <w:t xml:space="preserve"> Services</w:t>
      </w:r>
      <w:r w:rsidRPr="0062792F" w:rsidR="243A22D5">
        <w:rPr>
          <w:rFonts w:ascii="Arial" w:hAnsi="Arial" w:eastAsia="Arial" w:cs="Arial"/>
          <w:color w:val="005392"/>
          <w:sz w:val="32"/>
          <w:szCs w:val="32"/>
          <w:lang w:val="en-US"/>
        </w:rPr>
        <w:t xml:space="preserve"> </w:t>
      </w:r>
      <w:r w:rsidRPr="0062792F" w:rsidR="66B5A326">
        <w:rPr>
          <w:rFonts w:ascii="Arial" w:hAnsi="Arial" w:eastAsia="Arial" w:cs="Arial"/>
          <w:color w:val="005392"/>
          <w:sz w:val="32"/>
          <w:szCs w:val="32"/>
          <w:lang w:val="en-US"/>
        </w:rPr>
        <w:t>Guidance</w:t>
      </w:r>
    </w:p>
    <w:p w:rsidRPr="00B57835" w:rsidR="00142A2D" w:rsidP="13757D61" w:rsidRDefault="7354A6D2" w14:paraId="56788BC7" w14:textId="3443C3B5">
      <w:pPr>
        <w:pStyle w:val="Body"/>
        <w:spacing w:before="120" w:line="288" w:lineRule="auto"/>
        <w:rPr>
          <w:rFonts w:ascii="Arial" w:hAnsi="Arial" w:eastAsia="Arial" w:cs="Arial"/>
          <w:i/>
          <w:iCs/>
          <w:color w:val="005392"/>
          <w:sz w:val="44"/>
          <w:szCs w:val="44"/>
        </w:rPr>
      </w:pPr>
      <w:r w:rsidRPr="00B57835">
        <w:rPr>
          <w:rFonts w:ascii="Arial" w:hAnsi="Arial" w:eastAsia="Arial" w:cs="Arial"/>
          <w:i/>
          <w:iCs/>
          <w:color w:val="005392"/>
          <w:sz w:val="44"/>
          <w:szCs w:val="44"/>
          <w:lang w:val="en-US"/>
        </w:rPr>
        <w:t xml:space="preserve">Information </w:t>
      </w:r>
      <w:r w:rsidRPr="00B57835" w:rsidR="463AE794">
        <w:rPr>
          <w:rFonts w:ascii="Arial" w:hAnsi="Arial" w:eastAsia="Arial" w:cs="Arial"/>
          <w:i/>
          <w:iCs/>
          <w:color w:val="005392"/>
          <w:sz w:val="44"/>
          <w:szCs w:val="44"/>
          <w:lang w:val="en-US"/>
        </w:rPr>
        <w:t>g</w:t>
      </w:r>
      <w:r w:rsidRPr="00B57835">
        <w:rPr>
          <w:rFonts w:ascii="Arial" w:hAnsi="Arial" w:eastAsia="Arial" w:cs="Arial"/>
          <w:i/>
          <w:iCs/>
          <w:color w:val="005392"/>
          <w:sz w:val="44"/>
          <w:szCs w:val="44"/>
          <w:lang w:val="en-US"/>
        </w:rPr>
        <w:t xml:space="preserve">overnance </w:t>
      </w:r>
      <w:r w:rsidRPr="00B57835" w:rsidR="463AE794">
        <w:rPr>
          <w:rFonts w:ascii="Arial" w:hAnsi="Arial" w:eastAsia="Arial" w:cs="Arial"/>
          <w:i/>
          <w:iCs/>
          <w:color w:val="005392"/>
          <w:sz w:val="44"/>
          <w:szCs w:val="44"/>
          <w:lang w:val="en-US"/>
        </w:rPr>
        <w:t>for record access</w:t>
      </w:r>
    </w:p>
    <w:p w:rsidRPr="00136540" w:rsidR="00142A2D" w:rsidP="00733804" w:rsidRDefault="00142A2D" w14:paraId="2513F1F9" w14:textId="68B1529B">
      <w:pPr>
        <w:pStyle w:val="Body"/>
        <w:spacing w:before="120" w:line="288" w:lineRule="auto"/>
        <w:rPr>
          <w:rFonts w:ascii="Arial" w:hAnsi="Arial" w:cs="Arial"/>
          <w:color w:val="005392"/>
          <w:lang w:val="en-US"/>
        </w:rPr>
      </w:pPr>
    </w:p>
    <w:p w:rsidRPr="00136540" w:rsidR="00136540" w:rsidP="00733804" w:rsidRDefault="00136540" w14:paraId="75BAF118" w14:textId="77777777">
      <w:pPr>
        <w:pStyle w:val="Body"/>
        <w:spacing w:before="120" w:line="288" w:lineRule="auto"/>
        <w:rPr>
          <w:rFonts w:ascii="Arial" w:hAnsi="Arial" w:cs="Arial"/>
          <w:b/>
          <w:bCs/>
          <w:color w:val="005392"/>
        </w:rPr>
      </w:pPr>
    </w:p>
    <w:p w:rsidRPr="00E32827" w:rsidR="00142A2D" w:rsidP="00733804" w:rsidRDefault="00F13B98" w14:paraId="0936B1D4" w14:textId="77777777">
      <w:pPr>
        <w:pStyle w:val="Body"/>
        <w:spacing w:before="120" w:line="288" w:lineRule="auto"/>
        <w:rPr>
          <w:rFonts w:ascii="Lato" w:hAnsi="Lato" w:cs="Arial"/>
          <w:color w:val="000000" w:themeColor="text1"/>
          <w:sz w:val="32"/>
          <w:szCs w:val="32"/>
        </w:rPr>
      </w:pPr>
      <w:r w:rsidRPr="00E32827">
        <w:rPr>
          <w:rFonts w:ascii="Lato" w:hAnsi="Lato" w:cs="Arial"/>
          <w:color w:val="000000" w:themeColor="text1"/>
          <w:sz w:val="32"/>
          <w:szCs w:val="32"/>
          <w:lang w:val="en-US"/>
        </w:rPr>
        <w:t>Contents</w:t>
      </w:r>
    </w:p>
    <w:p w:rsidRPr="005B77AF" w:rsidR="00142A2D" w:rsidP="00DF716D" w:rsidRDefault="00F13B98" w14:paraId="1250D9BA" w14:textId="57CE03A6">
      <w:pPr>
        <w:pStyle w:val="Body"/>
        <w:numPr>
          <w:ilvl w:val="0"/>
          <w:numId w:val="14"/>
        </w:numPr>
        <w:spacing w:before="120" w:line="288" w:lineRule="auto"/>
        <w:rPr>
          <w:rFonts w:ascii="Arial" w:hAnsi="Arial" w:cs="Arial"/>
        </w:rPr>
      </w:pPr>
      <w:r w:rsidRPr="005B77AF">
        <w:rPr>
          <w:rFonts w:ascii="Arial" w:hAnsi="Arial" w:cs="Arial"/>
          <w:lang w:val="en-US"/>
        </w:rPr>
        <w:t>Introduction</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1</w:t>
      </w:r>
    </w:p>
    <w:p w:rsidRPr="005B77AF" w:rsidR="00142A2D" w:rsidP="00DF716D" w:rsidRDefault="005434C8" w14:paraId="42BD6187" w14:textId="2864EDDD">
      <w:pPr>
        <w:pStyle w:val="Body"/>
        <w:numPr>
          <w:ilvl w:val="0"/>
          <w:numId w:val="14"/>
        </w:numPr>
        <w:spacing w:before="120" w:line="288" w:lineRule="auto"/>
        <w:rPr>
          <w:rFonts w:ascii="Arial" w:hAnsi="Arial" w:cs="Arial"/>
        </w:rPr>
      </w:pPr>
      <w:r w:rsidRPr="005B77AF">
        <w:rPr>
          <w:rFonts w:ascii="Arial" w:hAnsi="Arial" w:cs="Arial"/>
          <w:lang w:val="en-US"/>
        </w:rPr>
        <w:t>Applications</w:t>
      </w:r>
      <w:r w:rsidRPr="005B77AF" w:rsidR="00F13B98">
        <w:rPr>
          <w:rFonts w:ascii="Arial" w:hAnsi="Arial" w:cs="Arial"/>
          <w:lang w:val="en-US"/>
        </w:rPr>
        <w:t xml:space="preserve"> for </w:t>
      </w:r>
      <w:r w:rsidRPr="005B77AF" w:rsidR="00CA00DD">
        <w:rPr>
          <w:rFonts w:ascii="Arial" w:hAnsi="Arial" w:cs="Arial"/>
          <w:lang w:val="en-US"/>
        </w:rPr>
        <w:t>GP Online Services</w:t>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sidR="00F13B98">
        <w:rPr>
          <w:rFonts w:ascii="Arial" w:hAnsi="Arial" w:cs="Arial"/>
          <w:lang w:val="en-US"/>
        </w:rPr>
        <w:t>2</w:t>
      </w:r>
    </w:p>
    <w:p w:rsidRPr="005B77AF" w:rsidR="00940266" w:rsidP="00DF716D" w:rsidRDefault="00940266" w14:paraId="58E13886" w14:textId="4465B221">
      <w:pPr>
        <w:pStyle w:val="Body"/>
        <w:numPr>
          <w:ilvl w:val="0"/>
          <w:numId w:val="14"/>
        </w:numPr>
        <w:spacing w:before="120" w:line="288" w:lineRule="auto"/>
        <w:rPr>
          <w:rFonts w:ascii="Arial" w:hAnsi="Arial" w:cs="Arial"/>
        </w:rPr>
      </w:pPr>
      <w:r w:rsidRPr="005B77AF">
        <w:rPr>
          <w:rFonts w:ascii="Arial" w:hAnsi="Arial" w:cs="Arial"/>
          <w:lang w:val="en-US"/>
        </w:rPr>
        <w:t>Automatic record access</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3</w:t>
      </w:r>
    </w:p>
    <w:p w:rsidRPr="005B77AF" w:rsidR="00142A2D" w:rsidP="00DF716D" w:rsidRDefault="00F13B98" w14:paraId="76535148" w14:textId="2C752744">
      <w:pPr>
        <w:pStyle w:val="Body"/>
        <w:numPr>
          <w:ilvl w:val="0"/>
          <w:numId w:val="14"/>
        </w:numPr>
        <w:spacing w:before="120" w:line="288" w:lineRule="auto"/>
        <w:rPr>
          <w:rFonts w:ascii="Arial" w:hAnsi="Arial" w:cs="Arial"/>
        </w:rPr>
      </w:pPr>
      <w:r w:rsidRPr="005B77AF">
        <w:rPr>
          <w:rFonts w:ascii="Arial" w:hAnsi="Arial" w:cs="Arial"/>
          <w:lang w:val="en-US"/>
        </w:rPr>
        <w:t>Coercion</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4</w:t>
      </w:r>
    </w:p>
    <w:p w:rsidRPr="005B77AF" w:rsidR="00142A2D" w:rsidP="00DF716D" w:rsidRDefault="00F13B98" w14:paraId="75621DCE" w14:textId="58FFF27E">
      <w:pPr>
        <w:pStyle w:val="Body"/>
        <w:numPr>
          <w:ilvl w:val="0"/>
          <w:numId w:val="14"/>
        </w:numPr>
        <w:spacing w:before="120" w:line="288" w:lineRule="auto"/>
        <w:rPr>
          <w:rFonts w:ascii="Arial" w:hAnsi="Arial" w:cs="Arial"/>
        </w:rPr>
      </w:pPr>
      <w:r w:rsidRPr="005B77AF">
        <w:rPr>
          <w:rFonts w:ascii="Arial" w:hAnsi="Arial" w:cs="Arial"/>
          <w:lang w:val="en-US"/>
        </w:rPr>
        <w:t xml:space="preserve">Identity Verification </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5</w:t>
      </w:r>
    </w:p>
    <w:p w:rsidRPr="005B77AF" w:rsidR="00142A2D" w:rsidP="00DF716D" w:rsidRDefault="00F13B98" w14:paraId="501E6258" w14:textId="0FE6EB64">
      <w:pPr>
        <w:pStyle w:val="Body"/>
        <w:numPr>
          <w:ilvl w:val="0"/>
          <w:numId w:val="14"/>
        </w:numPr>
        <w:spacing w:before="120" w:line="288" w:lineRule="auto"/>
        <w:rPr>
          <w:rFonts w:ascii="Arial" w:hAnsi="Arial" w:cs="Arial"/>
        </w:rPr>
      </w:pPr>
      <w:r w:rsidRPr="005B77AF">
        <w:rPr>
          <w:rFonts w:ascii="Arial" w:hAnsi="Arial" w:cs="Arial"/>
          <w:lang w:val="en-US"/>
        </w:rPr>
        <w:t>Clinical assurance of the record</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6</w:t>
      </w:r>
    </w:p>
    <w:p w:rsidRPr="005B77AF" w:rsidR="00142A2D" w:rsidP="00DF716D" w:rsidRDefault="00F13B98" w14:paraId="38AFA336" w14:textId="09A1071E">
      <w:pPr>
        <w:pStyle w:val="Body"/>
        <w:numPr>
          <w:ilvl w:val="0"/>
          <w:numId w:val="14"/>
        </w:numPr>
        <w:spacing w:before="120" w:line="288" w:lineRule="auto"/>
        <w:rPr>
          <w:rFonts w:ascii="Arial" w:hAnsi="Arial" w:cs="Arial"/>
        </w:rPr>
      </w:pPr>
      <w:r w:rsidRPr="005B77AF">
        <w:rPr>
          <w:rFonts w:ascii="Arial" w:hAnsi="Arial" w:cs="Arial"/>
          <w:lang w:val="en-US"/>
        </w:rPr>
        <w:t>Informed patients</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6</w:t>
      </w:r>
    </w:p>
    <w:p w:rsidRPr="005B77AF" w:rsidR="00142A2D" w:rsidP="00DF716D" w:rsidRDefault="00F13B98" w14:paraId="45150EE8" w14:textId="7F6A5C58">
      <w:pPr>
        <w:pStyle w:val="Body"/>
        <w:numPr>
          <w:ilvl w:val="0"/>
          <w:numId w:val="14"/>
        </w:numPr>
        <w:spacing w:before="120" w:line="288" w:lineRule="auto"/>
        <w:rPr>
          <w:rFonts w:ascii="Arial" w:hAnsi="Arial" w:cs="Arial"/>
        </w:rPr>
      </w:pPr>
      <w:r w:rsidRPr="005B77AF">
        <w:rPr>
          <w:rFonts w:ascii="Arial" w:hAnsi="Arial" w:cs="Arial"/>
          <w:lang w:val="en-US"/>
        </w:rPr>
        <w:t>Proxy access</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7</w:t>
      </w:r>
    </w:p>
    <w:p w:rsidRPr="005B77AF" w:rsidR="00142A2D" w:rsidP="00DF716D" w:rsidRDefault="00F13B98" w14:paraId="53E9AE46" w14:textId="3570E47F">
      <w:pPr>
        <w:pStyle w:val="Body"/>
        <w:numPr>
          <w:ilvl w:val="0"/>
          <w:numId w:val="14"/>
        </w:numPr>
        <w:spacing w:before="120" w:line="288" w:lineRule="auto"/>
        <w:rPr>
          <w:rFonts w:ascii="Arial" w:hAnsi="Arial" w:cs="Arial"/>
        </w:rPr>
      </w:pPr>
      <w:r w:rsidRPr="005B77AF">
        <w:rPr>
          <w:rFonts w:ascii="Arial" w:hAnsi="Arial" w:cs="Arial"/>
          <w:lang w:val="en-US"/>
        </w:rPr>
        <w:t xml:space="preserve">Patients who already have </w:t>
      </w:r>
      <w:r w:rsidR="0074604A">
        <w:rPr>
          <w:rFonts w:ascii="Arial" w:hAnsi="Arial" w:cs="Arial"/>
          <w:lang w:val="en-US"/>
        </w:rPr>
        <w:t>access to their practice</w:t>
      </w:r>
      <w:r w:rsidRPr="005B77AF" w:rsidR="00CA00DD">
        <w:rPr>
          <w:rFonts w:ascii="Arial" w:hAnsi="Arial" w:cs="Arial"/>
          <w:lang w:val="en-US"/>
        </w:rPr>
        <w:t xml:space="preserve"> </w:t>
      </w:r>
      <w:r w:rsidR="0074604A">
        <w:rPr>
          <w:rFonts w:ascii="Arial" w:hAnsi="Arial" w:cs="Arial"/>
          <w:lang w:val="en-US"/>
        </w:rPr>
        <w:t>o</w:t>
      </w:r>
      <w:r w:rsidRPr="005B77AF" w:rsidR="00CA00DD">
        <w:rPr>
          <w:rFonts w:ascii="Arial" w:hAnsi="Arial" w:cs="Arial"/>
          <w:lang w:val="en-US"/>
        </w:rPr>
        <w:t xml:space="preserve">nline </w:t>
      </w:r>
      <w:r w:rsidR="0074604A">
        <w:rPr>
          <w:rFonts w:ascii="Arial" w:hAnsi="Arial" w:cs="Arial"/>
          <w:lang w:val="en-US"/>
        </w:rPr>
        <w:t>s</w:t>
      </w:r>
      <w:r w:rsidRPr="005B77AF" w:rsidR="00CA00DD">
        <w:rPr>
          <w:rFonts w:ascii="Arial" w:hAnsi="Arial" w:cs="Arial"/>
          <w:lang w:val="en-US"/>
        </w:rPr>
        <w:t>ervices</w:t>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sidR="00940266">
        <w:rPr>
          <w:rFonts w:ascii="Arial" w:hAnsi="Arial" w:cs="Arial"/>
          <w:lang w:val="en-US"/>
        </w:rPr>
        <w:t>8</w:t>
      </w:r>
    </w:p>
    <w:p w:rsidRPr="005B77AF" w:rsidR="00142A2D" w:rsidP="00DF716D" w:rsidRDefault="00F13B98" w14:paraId="46CFA505" w14:textId="14189CE0">
      <w:pPr>
        <w:pStyle w:val="Body"/>
        <w:numPr>
          <w:ilvl w:val="0"/>
          <w:numId w:val="14"/>
        </w:numPr>
        <w:spacing w:before="120" w:line="288" w:lineRule="auto"/>
        <w:rPr>
          <w:rFonts w:ascii="Arial" w:hAnsi="Arial" w:cs="Arial"/>
        </w:rPr>
      </w:pPr>
      <w:r w:rsidRPr="005B77AF">
        <w:rPr>
          <w:rFonts w:ascii="Arial" w:hAnsi="Arial" w:cs="Arial"/>
          <w:lang w:val="en-US"/>
        </w:rPr>
        <w:t>Recording third party data</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9</w:t>
      </w:r>
    </w:p>
    <w:p w:rsidRPr="005B77AF" w:rsidR="00142A2D" w:rsidP="00DF716D" w:rsidRDefault="00F13B98" w14:paraId="26FA98BE" w14:textId="2F6BDE9D">
      <w:pPr>
        <w:pStyle w:val="Body"/>
        <w:numPr>
          <w:ilvl w:val="0"/>
          <w:numId w:val="14"/>
        </w:numPr>
        <w:spacing w:before="120" w:line="288" w:lineRule="auto"/>
        <w:rPr>
          <w:rFonts w:ascii="Arial" w:hAnsi="Arial" w:cs="Arial"/>
          <w:lang w:val="en-US"/>
        </w:rPr>
      </w:pPr>
      <w:r w:rsidRPr="005B77AF">
        <w:rPr>
          <w:rFonts w:ascii="Arial" w:hAnsi="Arial" w:cs="Arial"/>
          <w:lang w:val="en-US"/>
        </w:rPr>
        <w:t>Legal, employment and insurance matters</w:t>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Pr>
          <w:rFonts w:ascii="Arial" w:hAnsi="Arial" w:cs="Arial"/>
          <w:lang w:val="en-US"/>
        </w:rPr>
        <w:tab/>
      </w:r>
      <w:r w:rsidRPr="005B77AF" w:rsidR="00940266">
        <w:rPr>
          <w:rFonts w:ascii="Arial" w:hAnsi="Arial" w:cs="Arial"/>
          <w:lang w:val="en-US"/>
        </w:rPr>
        <w:t>9</w:t>
      </w:r>
    </w:p>
    <w:p w:rsidRPr="00751318" w:rsidR="004D6EB3" w:rsidP="00DF716D" w:rsidRDefault="000028D4" w14:paraId="272689FF" w14:textId="030D9188">
      <w:pPr>
        <w:pStyle w:val="Body"/>
        <w:numPr>
          <w:ilvl w:val="0"/>
          <w:numId w:val="14"/>
        </w:numPr>
        <w:spacing w:before="120" w:line="288" w:lineRule="auto"/>
        <w:rPr>
          <w:rFonts w:ascii="Arial" w:hAnsi="Arial" w:cs="Arial"/>
        </w:rPr>
      </w:pPr>
      <w:r w:rsidRPr="13757D61">
        <w:rPr>
          <w:rFonts w:ascii="Arial" w:hAnsi="Arial" w:cs="Arial"/>
          <w:lang w:val="en-US"/>
        </w:rPr>
        <w:t>Documenting practice privacy policies</w:t>
      </w:r>
      <w:r>
        <w:tab/>
      </w:r>
      <w:r w:rsidR="00B57835">
        <w:t xml:space="preserve">                     </w:t>
      </w:r>
      <w:r>
        <w:tab/>
      </w:r>
      <w:r>
        <w:tab/>
      </w:r>
      <w:r>
        <w:tab/>
      </w:r>
      <w:r>
        <w:tab/>
      </w:r>
      <w:r>
        <w:tab/>
      </w:r>
      <w:r w:rsidRPr="13757D61">
        <w:rPr>
          <w:rFonts w:ascii="Arial" w:hAnsi="Arial" w:cs="Arial"/>
          <w:lang w:val="en-US"/>
        </w:rPr>
        <w:t>10</w:t>
      </w:r>
    </w:p>
    <w:p w:rsidRPr="005B77AF" w:rsidR="00751318" w:rsidP="00DF716D" w:rsidRDefault="00751318" w14:paraId="2752DED3" w14:textId="5752E22F">
      <w:pPr>
        <w:pStyle w:val="Body"/>
        <w:numPr>
          <w:ilvl w:val="0"/>
          <w:numId w:val="14"/>
        </w:numPr>
        <w:spacing w:before="120" w:line="288" w:lineRule="auto"/>
        <w:rPr>
          <w:rFonts w:ascii="Arial" w:hAnsi="Arial" w:cs="Arial"/>
        </w:rPr>
      </w:pPr>
      <w:r>
        <w:rPr>
          <w:rFonts w:ascii="Arial" w:hAnsi="Arial" w:cs="Arial"/>
          <w:lang w:val="en-US"/>
        </w:rPr>
        <w:t>Data Privacy Impact Assessment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10</w:t>
      </w:r>
    </w:p>
    <w:p w:rsidRPr="005B77AF" w:rsidR="004D6EB3" w:rsidP="00733804" w:rsidRDefault="004D6EB3" w14:paraId="3862F56F" w14:textId="7B3AD52D">
      <w:pPr>
        <w:pStyle w:val="Body"/>
        <w:numPr>
          <w:ilvl w:val="0"/>
          <w:numId w:val="14"/>
        </w:numPr>
        <w:spacing w:before="120" w:line="288" w:lineRule="auto"/>
        <w:rPr>
          <w:rFonts w:ascii="Arial" w:hAnsi="Arial" w:cs="Arial"/>
        </w:rPr>
      </w:pPr>
      <w:r w:rsidRPr="005B77AF">
        <w:rPr>
          <w:rFonts w:ascii="Arial" w:hAnsi="Arial" w:cs="Arial"/>
        </w:rPr>
        <w:t>Disclaimer</w:t>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Pr="005B77AF">
        <w:rPr>
          <w:rFonts w:ascii="Arial" w:hAnsi="Arial" w:cs="Arial"/>
        </w:rPr>
        <w:tab/>
      </w:r>
      <w:r w:rsidR="0062792F">
        <w:rPr>
          <w:rFonts w:ascii="Arial" w:hAnsi="Arial" w:cs="Arial"/>
        </w:rPr>
        <w:tab/>
      </w:r>
      <w:r w:rsidRPr="005B77AF" w:rsidR="000028D4">
        <w:rPr>
          <w:rFonts w:ascii="Arial" w:hAnsi="Arial" w:cs="Arial"/>
        </w:rPr>
        <w:t>11</w:t>
      </w:r>
    </w:p>
    <w:p w:rsidRPr="005B77AF" w:rsidR="00142A2D" w:rsidP="00DF716D" w:rsidRDefault="00F13B98" w14:paraId="1FF7363A" w14:textId="44711941">
      <w:pPr>
        <w:pStyle w:val="Body"/>
        <w:numPr>
          <w:ilvl w:val="0"/>
          <w:numId w:val="14"/>
        </w:numPr>
        <w:spacing w:before="120" w:line="288" w:lineRule="auto"/>
        <w:rPr>
          <w:rFonts w:ascii="Arial" w:hAnsi="Arial" w:cs="Arial"/>
        </w:rPr>
      </w:pPr>
      <w:r w:rsidRPr="13757D61">
        <w:rPr>
          <w:rFonts w:ascii="Arial" w:hAnsi="Arial" w:cs="Arial"/>
          <w:lang w:val="en-US"/>
        </w:rPr>
        <w:t>Further reading</w:t>
      </w:r>
      <w:r>
        <w:tab/>
      </w:r>
      <w:r>
        <w:tab/>
      </w:r>
      <w:r>
        <w:tab/>
      </w:r>
      <w:r>
        <w:tab/>
      </w:r>
      <w:r>
        <w:tab/>
      </w:r>
      <w:r>
        <w:tab/>
      </w:r>
      <w:r>
        <w:tab/>
      </w:r>
      <w:r>
        <w:tab/>
      </w:r>
      <w:r>
        <w:tab/>
      </w:r>
      <w:r>
        <w:tab/>
      </w:r>
      <w:r w:rsidRPr="13757D61" w:rsidR="004D6EB3">
        <w:rPr>
          <w:rFonts w:ascii="Arial" w:hAnsi="Arial" w:cs="Arial"/>
          <w:lang w:val="en-US"/>
        </w:rPr>
        <w:t>1</w:t>
      </w:r>
      <w:r w:rsidRPr="13757D61" w:rsidR="000028D4">
        <w:rPr>
          <w:rFonts w:ascii="Arial" w:hAnsi="Arial" w:cs="Arial"/>
          <w:lang w:val="en-US"/>
        </w:rPr>
        <w:t>2</w:t>
      </w:r>
    </w:p>
    <w:p w:rsidR="00DF716D" w:rsidP="00DF716D" w:rsidRDefault="00DF716D" w14:paraId="6C4EB5B9" w14:textId="21BC082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eastAsia="Arial Unicode MS" w:cs="Arial"/>
          <w:color w:val="005392"/>
          <w:sz w:val="24"/>
          <w:szCs w:val="24"/>
        </w:rPr>
      </w:pPr>
    </w:p>
    <w:p w:rsidR="00751318" w:rsidP="00DF716D" w:rsidRDefault="00751318" w14:paraId="4590B8C6"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eastAsia="Arial Unicode MS" w:cs="Arial"/>
          <w:color w:val="005392"/>
          <w:sz w:val="24"/>
          <w:szCs w:val="24"/>
        </w:rPr>
      </w:pPr>
    </w:p>
    <w:p w:rsidRPr="00BE2F58" w:rsidR="00142A2D" w:rsidP="00BE2F58" w:rsidRDefault="00F13B98" w14:paraId="07CA231A" w14:textId="6995B469">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b/>
          <w:bCs/>
        </w:rPr>
      </w:pPr>
      <w:r w:rsidRPr="00BE2F58">
        <w:rPr>
          <w:rFonts w:ascii="Lato" w:hAnsi="Lato" w:cs="Arial"/>
          <w:b/>
          <w:bCs/>
          <w:color w:val="000000" w:themeColor="text1"/>
          <w:sz w:val="32"/>
          <w:szCs w:val="32"/>
          <w:lang w:val="en-US"/>
        </w:rPr>
        <w:t>Introduction</w:t>
      </w:r>
    </w:p>
    <w:p w:rsidRPr="005B77AF" w:rsidR="00142A2D" w:rsidP="00733804" w:rsidRDefault="00F13B98" w14:paraId="70B13ED6" w14:textId="224C70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5B77AF">
        <w:rPr>
          <w:rFonts w:ascii="Arial" w:hAnsi="Arial" w:cs="Arial"/>
          <w:lang w:val="en-US"/>
        </w:rPr>
        <w:t xml:space="preserve">The purpose of this guidance is to describe </w:t>
      </w:r>
      <w:r w:rsidR="0062792F">
        <w:rPr>
          <w:rFonts w:ascii="Arial" w:hAnsi="Arial" w:cs="Arial"/>
          <w:lang w:val="en-US"/>
        </w:rPr>
        <w:t xml:space="preserve">the </w:t>
      </w:r>
      <w:r w:rsidRPr="005B77AF">
        <w:rPr>
          <w:rFonts w:ascii="Arial" w:hAnsi="Arial" w:cs="Arial"/>
          <w:lang w:val="en-US"/>
        </w:rPr>
        <w:t xml:space="preserve">practice’s legal and formal responsibilities in relation to the processing of confidential patient information in offering and providing </w:t>
      </w:r>
      <w:r w:rsidR="0062792F">
        <w:rPr>
          <w:rFonts w:ascii="Arial" w:hAnsi="Arial" w:cs="Arial"/>
          <w:lang w:val="en-US"/>
        </w:rPr>
        <w:t>on</w:t>
      </w:r>
      <w:r w:rsidRPr="005B77AF">
        <w:rPr>
          <w:rFonts w:ascii="Arial" w:hAnsi="Arial" w:cs="Arial"/>
          <w:lang w:val="en-US"/>
        </w:rPr>
        <w:t xml:space="preserve">line </w:t>
      </w:r>
      <w:r w:rsidR="0062792F">
        <w:rPr>
          <w:rFonts w:ascii="Arial" w:hAnsi="Arial" w:cs="Arial"/>
          <w:lang w:val="en-US"/>
        </w:rPr>
        <w:t>s</w:t>
      </w:r>
      <w:r w:rsidRPr="005B77AF">
        <w:rPr>
          <w:rFonts w:ascii="Arial" w:hAnsi="Arial" w:cs="Arial"/>
          <w:lang w:val="en-US"/>
        </w:rPr>
        <w:t xml:space="preserve">ervices. </w:t>
      </w:r>
      <w:r w:rsidRPr="005B77AF" w:rsidR="00CC69CC">
        <w:rPr>
          <w:rFonts w:ascii="Arial" w:hAnsi="Arial" w:cs="Arial"/>
          <w:lang w:val="en-US"/>
        </w:rPr>
        <w:t xml:space="preserve"> It pulls together all the key information from other guidance in one place </w:t>
      </w:r>
      <w:r w:rsidRPr="005B77AF" w:rsidR="00436D3C">
        <w:rPr>
          <w:rFonts w:ascii="Arial" w:hAnsi="Arial" w:cs="Arial"/>
          <w:lang w:val="en-US"/>
        </w:rPr>
        <w:t xml:space="preserve">to ensure that practices have a clear overview of the whole subject.  </w:t>
      </w:r>
      <w:r w:rsidRPr="005B77AF">
        <w:rPr>
          <w:rFonts w:ascii="Arial" w:hAnsi="Arial" w:cs="Arial"/>
          <w:lang w:val="en-US"/>
        </w:rPr>
        <w:t>It</w:t>
      </w:r>
      <w:r w:rsidRPr="005B77AF">
        <w:rPr>
          <w:rFonts w:ascii="Arial" w:hAnsi="Arial" w:cs="Arial"/>
        </w:rPr>
        <w:t xml:space="preserve"> </w:t>
      </w:r>
      <w:r w:rsidRPr="005B77AF">
        <w:rPr>
          <w:rFonts w:ascii="Arial" w:hAnsi="Arial" w:cs="Arial"/>
          <w:lang w:val="en-US"/>
        </w:rPr>
        <w:t xml:space="preserve">is intended </w:t>
      </w:r>
      <w:r w:rsidRPr="005B77AF" w:rsidR="00436D3C">
        <w:rPr>
          <w:rFonts w:ascii="Arial" w:hAnsi="Arial" w:cs="Arial"/>
          <w:lang w:val="en-US"/>
        </w:rPr>
        <w:t xml:space="preserve">primarily </w:t>
      </w:r>
      <w:r w:rsidRPr="005B77AF">
        <w:rPr>
          <w:rFonts w:ascii="Arial" w:hAnsi="Arial" w:cs="Arial"/>
          <w:lang w:val="en-US"/>
        </w:rPr>
        <w:t>for the practice</w:t>
      </w:r>
      <w:r w:rsidRPr="005B77AF" w:rsidR="00CA00DD">
        <w:rPr>
          <w:rFonts w:ascii="Arial" w:hAnsi="Arial" w:cs="Arial"/>
          <w:lang w:val="en-US"/>
        </w:rPr>
        <w:t xml:space="preserve"> </w:t>
      </w:r>
      <w:r w:rsidR="00AC43BA">
        <w:rPr>
          <w:rFonts w:ascii="Arial" w:hAnsi="Arial" w:cs="Arial"/>
          <w:lang w:val="en-US"/>
        </w:rPr>
        <w:t>o</w:t>
      </w:r>
      <w:r w:rsidRPr="005B77AF" w:rsidR="00CA00DD">
        <w:rPr>
          <w:rFonts w:ascii="Arial" w:hAnsi="Arial" w:cs="Arial"/>
          <w:lang w:val="en-US"/>
        </w:rPr>
        <w:t xml:space="preserve">nline </w:t>
      </w:r>
      <w:r w:rsidR="00AC43BA">
        <w:rPr>
          <w:rFonts w:ascii="Arial" w:hAnsi="Arial" w:cs="Arial"/>
          <w:lang w:val="en-US"/>
        </w:rPr>
        <w:t>s</w:t>
      </w:r>
      <w:r w:rsidRPr="005B77AF" w:rsidR="00CA00DD">
        <w:rPr>
          <w:rFonts w:ascii="Arial" w:hAnsi="Arial" w:cs="Arial"/>
          <w:lang w:val="en-US"/>
        </w:rPr>
        <w:t>ervices</w:t>
      </w:r>
      <w:r w:rsidRPr="005B77AF">
        <w:rPr>
          <w:rFonts w:ascii="Arial" w:hAnsi="Arial" w:cs="Arial"/>
          <w:lang w:val="en-US"/>
        </w:rPr>
        <w:t xml:space="preserve"> lead and Caldicott Guardian but is relevant to the roles and responsibilities of everyone working with </w:t>
      </w:r>
      <w:r w:rsidR="00AC43BA">
        <w:rPr>
          <w:rFonts w:ascii="Arial" w:hAnsi="Arial" w:cs="Arial"/>
          <w:lang w:val="en-US"/>
        </w:rPr>
        <w:t>the practice o</w:t>
      </w:r>
      <w:r w:rsidRPr="005B77AF" w:rsidR="00CA00DD">
        <w:rPr>
          <w:rFonts w:ascii="Arial" w:hAnsi="Arial" w:cs="Arial"/>
          <w:lang w:val="en-US"/>
        </w:rPr>
        <w:t xml:space="preserve">nline </w:t>
      </w:r>
      <w:r w:rsidR="00AC43BA">
        <w:rPr>
          <w:rFonts w:ascii="Arial" w:hAnsi="Arial" w:cs="Arial"/>
          <w:lang w:val="en-US"/>
        </w:rPr>
        <w:t>s</w:t>
      </w:r>
      <w:r w:rsidRPr="005B77AF" w:rsidR="00CA00DD">
        <w:rPr>
          <w:rFonts w:ascii="Arial" w:hAnsi="Arial" w:cs="Arial"/>
          <w:lang w:val="en-US"/>
        </w:rPr>
        <w:t>ervices</w:t>
      </w:r>
      <w:r w:rsidRPr="005B77AF">
        <w:rPr>
          <w:rFonts w:ascii="Arial" w:hAnsi="Arial" w:cs="Arial"/>
          <w:lang w:val="en-US"/>
        </w:rPr>
        <w:t>.</w:t>
      </w:r>
    </w:p>
    <w:p w:rsidRPr="005B77AF" w:rsidR="00142A2D" w:rsidP="00733804" w:rsidRDefault="00751318" w14:paraId="5AC47FE4" w14:textId="43386DC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Pr>
          <w:rFonts w:ascii="Arial" w:hAnsi="Arial" w:cs="Arial"/>
          <w:lang w:val="en-US"/>
        </w:rPr>
        <w:lastRenderedPageBreak/>
        <w:t>This guidance</w:t>
      </w:r>
      <w:r w:rsidRPr="005B77AF" w:rsidR="00F13B98">
        <w:rPr>
          <w:rFonts w:ascii="Arial" w:hAnsi="Arial" w:cs="Arial"/>
          <w:lang w:val="en-US"/>
        </w:rPr>
        <w:t xml:space="preserve"> covers the practice’s </w:t>
      </w:r>
      <w:r>
        <w:rPr>
          <w:rFonts w:ascii="Arial" w:hAnsi="Arial" w:cs="Arial"/>
          <w:lang w:val="en-US"/>
        </w:rPr>
        <w:t>responsibilities</w:t>
      </w:r>
      <w:r w:rsidRPr="005B77AF" w:rsidR="00F13B98">
        <w:rPr>
          <w:rFonts w:ascii="Arial" w:hAnsi="Arial" w:cs="Arial"/>
          <w:lang w:val="en-US"/>
        </w:rPr>
        <w:t xml:space="preserve"> for:</w:t>
      </w:r>
    </w:p>
    <w:p w:rsidRPr="005B77AF" w:rsidR="00142A2D" w:rsidP="00AC43BA" w:rsidRDefault="00F13B98" w14:paraId="3F6B3A40" w14:textId="35359B1A">
      <w:pPr>
        <w:pStyle w:val="Default"/>
        <w:numPr>
          <w:ilvl w:val="0"/>
          <w:numId w:val="2"/>
        </w:numPr>
        <w:spacing w:before="60" w:line="288" w:lineRule="auto"/>
        <w:ind w:left="568" w:hanging="284"/>
        <w:rPr>
          <w:rFonts w:ascii="Arial" w:hAnsi="Arial" w:cs="Arial"/>
          <w:lang w:val="en-US"/>
        </w:rPr>
      </w:pPr>
      <w:r w:rsidRPr="005B77AF">
        <w:rPr>
          <w:rFonts w:ascii="Arial" w:hAnsi="Arial" w:cs="Arial"/>
          <w:lang w:val="en-US"/>
        </w:rPr>
        <w:t xml:space="preserve">Management of new applications for </w:t>
      </w:r>
      <w:r w:rsidR="00AC43BA">
        <w:rPr>
          <w:rFonts w:ascii="Arial" w:hAnsi="Arial" w:cs="Arial"/>
          <w:lang w:val="en-US"/>
        </w:rPr>
        <w:t>practice</w:t>
      </w:r>
      <w:r w:rsidRPr="005B77AF" w:rsidR="00CA00DD">
        <w:rPr>
          <w:rFonts w:ascii="Arial" w:hAnsi="Arial" w:cs="Arial"/>
          <w:lang w:val="en-US"/>
        </w:rPr>
        <w:t xml:space="preserve"> </w:t>
      </w:r>
      <w:r w:rsidR="00AC43BA">
        <w:rPr>
          <w:rFonts w:ascii="Arial" w:hAnsi="Arial" w:cs="Arial"/>
          <w:lang w:val="en-US"/>
        </w:rPr>
        <w:t>o</w:t>
      </w:r>
      <w:r w:rsidRPr="005B77AF" w:rsidR="00CA00DD">
        <w:rPr>
          <w:rFonts w:ascii="Arial" w:hAnsi="Arial" w:cs="Arial"/>
          <w:lang w:val="en-US"/>
        </w:rPr>
        <w:t xml:space="preserve">nline </w:t>
      </w:r>
      <w:r w:rsidR="00AC43BA">
        <w:rPr>
          <w:rFonts w:ascii="Arial" w:hAnsi="Arial" w:cs="Arial"/>
          <w:lang w:val="en-US"/>
        </w:rPr>
        <w:t>s</w:t>
      </w:r>
      <w:r w:rsidRPr="005B77AF" w:rsidR="00CA00DD">
        <w:rPr>
          <w:rFonts w:ascii="Arial" w:hAnsi="Arial" w:cs="Arial"/>
          <w:lang w:val="en-US"/>
        </w:rPr>
        <w:t xml:space="preserve">ervices </w:t>
      </w:r>
      <w:r w:rsidRPr="005B77AF">
        <w:rPr>
          <w:rFonts w:ascii="Arial" w:hAnsi="Arial" w:cs="Arial"/>
          <w:lang w:val="en-US"/>
        </w:rPr>
        <w:t>by patients and people acting on their behalf</w:t>
      </w:r>
    </w:p>
    <w:p w:rsidRPr="005B77AF" w:rsidR="00142A2D" w:rsidP="00AC43BA" w:rsidRDefault="00F13B98" w14:paraId="0FA67CB9" w14:textId="13E89DC2">
      <w:pPr>
        <w:pStyle w:val="Default"/>
        <w:numPr>
          <w:ilvl w:val="0"/>
          <w:numId w:val="2"/>
        </w:numPr>
        <w:spacing w:before="60" w:line="288" w:lineRule="auto"/>
        <w:ind w:left="568" w:hanging="284"/>
        <w:rPr>
          <w:rFonts w:ascii="Arial" w:hAnsi="Arial" w:cs="Arial"/>
          <w:lang w:val="en-US"/>
        </w:rPr>
      </w:pPr>
      <w:r w:rsidRPr="005B77AF">
        <w:rPr>
          <w:rFonts w:ascii="Arial" w:hAnsi="Arial" w:cs="Arial"/>
          <w:lang w:val="en-US"/>
        </w:rPr>
        <w:t xml:space="preserve">Information governance of the records of patients who already have </w:t>
      </w:r>
      <w:r w:rsidR="00AC43BA">
        <w:rPr>
          <w:rFonts w:ascii="Arial" w:hAnsi="Arial" w:cs="Arial"/>
          <w:lang w:val="en-US"/>
        </w:rPr>
        <w:t>access to o</w:t>
      </w:r>
      <w:r w:rsidRPr="005B77AF" w:rsidR="00CA00DD">
        <w:rPr>
          <w:rFonts w:ascii="Arial" w:hAnsi="Arial" w:cs="Arial"/>
          <w:lang w:val="en-US"/>
        </w:rPr>
        <w:t xml:space="preserve">nline </w:t>
      </w:r>
      <w:r w:rsidR="00AC43BA">
        <w:rPr>
          <w:rFonts w:ascii="Arial" w:hAnsi="Arial" w:cs="Arial"/>
          <w:lang w:val="en-US"/>
        </w:rPr>
        <w:t>s</w:t>
      </w:r>
      <w:r w:rsidRPr="005B77AF" w:rsidR="00CA00DD">
        <w:rPr>
          <w:rFonts w:ascii="Arial" w:hAnsi="Arial" w:cs="Arial"/>
          <w:lang w:val="en-US"/>
        </w:rPr>
        <w:t>ervices</w:t>
      </w:r>
    </w:p>
    <w:p w:rsidRPr="005B77AF" w:rsidR="00142A2D" w:rsidP="00AC43BA" w:rsidRDefault="00F13B98" w14:paraId="010B8606" w14:textId="0952D539">
      <w:pPr>
        <w:pStyle w:val="Default"/>
        <w:numPr>
          <w:ilvl w:val="0"/>
          <w:numId w:val="2"/>
        </w:numPr>
        <w:spacing w:before="60" w:line="288" w:lineRule="auto"/>
        <w:ind w:left="568" w:hanging="284"/>
        <w:rPr>
          <w:rFonts w:ascii="Arial" w:hAnsi="Arial" w:cs="Arial"/>
          <w:lang w:val="en-US"/>
        </w:rPr>
      </w:pPr>
      <w:r w:rsidRPr="13757D61">
        <w:rPr>
          <w:rFonts w:ascii="Arial" w:hAnsi="Arial" w:cs="Arial"/>
          <w:lang w:val="en-US"/>
        </w:rPr>
        <w:t xml:space="preserve">Supporting patients’ appropriate use of their </w:t>
      </w:r>
      <w:r w:rsidRPr="13757D61" w:rsidR="00AC43BA">
        <w:rPr>
          <w:rFonts w:ascii="Arial" w:hAnsi="Arial" w:cs="Arial"/>
          <w:lang w:val="en-US"/>
        </w:rPr>
        <w:t xml:space="preserve">GP </w:t>
      </w:r>
      <w:r w:rsidRPr="13757D61" w:rsidR="2DCCC211">
        <w:rPr>
          <w:rFonts w:ascii="Arial" w:hAnsi="Arial" w:cs="Arial"/>
          <w:lang w:val="en-US"/>
        </w:rPr>
        <w:t>O</w:t>
      </w:r>
      <w:r w:rsidRPr="13757D61" w:rsidR="00CA00DD">
        <w:rPr>
          <w:rFonts w:ascii="Arial" w:hAnsi="Arial" w:cs="Arial"/>
          <w:lang w:val="en-US"/>
        </w:rPr>
        <w:t xml:space="preserve">nline </w:t>
      </w:r>
      <w:r w:rsidRPr="13757D61" w:rsidR="3BD79390">
        <w:rPr>
          <w:rFonts w:ascii="Arial" w:hAnsi="Arial" w:cs="Arial"/>
          <w:lang w:val="en-US"/>
        </w:rPr>
        <w:t>S</w:t>
      </w:r>
      <w:r w:rsidRPr="13757D61" w:rsidR="00CA00DD">
        <w:rPr>
          <w:rFonts w:ascii="Arial" w:hAnsi="Arial" w:cs="Arial"/>
          <w:lang w:val="en-US"/>
        </w:rPr>
        <w:t>ervices</w:t>
      </w:r>
      <w:r w:rsidRPr="13757D61">
        <w:rPr>
          <w:rFonts w:ascii="Arial" w:hAnsi="Arial" w:cs="Arial"/>
          <w:lang w:val="en-US"/>
        </w:rPr>
        <w:t>.</w:t>
      </w:r>
    </w:p>
    <w:p w:rsidRPr="005B77AF" w:rsidR="00142A2D" w:rsidP="2613DA97" w:rsidRDefault="00F13B98" w14:paraId="67B97FEB" w14:textId="3B80FF81">
      <w:pPr>
        <w:pStyle w:val="Default"/>
        <w:spacing w:before="120" w:line="288" w:lineRule="auto"/>
        <w:rPr>
          <w:rFonts w:ascii="Arial" w:hAnsi="Arial" w:cs="Arial"/>
          <w:lang w:val="en-US"/>
        </w:rPr>
      </w:pPr>
      <w:r w:rsidRPr="005B77AF">
        <w:rPr>
          <w:rFonts w:ascii="Arial" w:hAnsi="Arial" w:eastAsia="Calibri" w:cs="Arial"/>
          <w:lang w:val="en-US"/>
        </w:rPr>
        <w:t>Information governance is the term used to describe</w:t>
      </w:r>
      <w:r w:rsidRPr="005B77AF" w:rsidR="00DE540C">
        <w:rPr>
          <w:rFonts w:ascii="Arial" w:hAnsi="Arial" w:eastAsia="Calibri" w:cs="Arial"/>
          <w:lang w:val="en-US"/>
        </w:rPr>
        <w:t xml:space="preserve"> the standards </w:t>
      </w:r>
      <w:proofErr w:type="spellStart"/>
      <w:r w:rsidRPr="005B77AF">
        <w:rPr>
          <w:rFonts w:ascii="Arial" w:hAnsi="Arial" w:eastAsia="Calibri" w:cs="Arial"/>
          <w:lang w:val="en-US"/>
        </w:rPr>
        <w:t>organisations</w:t>
      </w:r>
      <w:proofErr w:type="spellEnd"/>
      <w:r w:rsidRPr="005B77AF">
        <w:rPr>
          <w:rFonts w:ascii="Arial" w:hAnsi="Arial" w:eastAsia="Calibri" w:cs="Arial"/>
          <w:lang w:val="en-US"/>
        </w:rPr>
        <w:t xml:space="preserve"> </w:t>
      </w:r>
      <w:r w:rsidRPr="005B77AF" w:rsidR="00DE540C">
        <w:rPr>
          <w:rFonts w:ascii="Arial" w:hAnsi="Arial" w:eastAsia="Calibri" w:cs="Arial"/>
          <w:lang w:val="en-US"/>
        </w:rPr>
        <w:t xml:space="preserve">apply when they </w:t>
      </w:r>
      <w:r w:rsidRPr="005B77AF">
        <w:rPr>
          <w:rFonts w:ascii="Arial" w:hAnsi="Arial" w:eastAsia="Calibri" w:cs="Arial"/>
          <w:lang w:val="en-US"/>
        </w:rPr>
        <w:t xml:space="preserve">manage information.  It covers the </w:t>
      </w:r>
      <w:proofErr w:type="spellStart"/>
      <w:r w:rsidRPr="005B77AF">
        <w:rPr>
          <w:rFonts w:ascii="Arial" w:hAnsi="Arial" w:eastAsia="Calibri" w:cs="Arial"/>
          <w:lang w:val="en-US"/>
        </w:rPr>
        <w:t>behaviour</w:t>
      </w:r>
      <w:proofErr w:type="spellEnd"/>
      <w:r w:rsidRPr="005B77AF">
        <w:rPr>
          <w:rFonts w:ascii="Arial" w:hAnsi="Arial" w:eastAsia="Calibri" w:cs="Arial"/>
          <w:lang w:val="en-US"/>
        </w:rPr>
        <w:t xml:space="preserve"> and </w:t>
      </w:r>
      <w:r w:rsidRPr="005B77AF" w:rsidR="00DE540C">
        <w:rPr>
          <w:rFonts w:ascii="Arial" w:hAnsi="Arial" w:eastAsia="Calibri" w:cs="Arial"/>
          <w:lang w:val="en-US"/>
        </w:rPr>
        <w:t>management</w:t>
      </w:r>
      <w:r w:rsidRPr="005B77AF">
        <w:rPr>
          <w:rFonts w:ascii="Arial" w:hAnsi="Arial" w:eastAsia="Calibri" w:cs="Arial"/>
          <w:lang w:val="en-US"/>
        </w:rPr>
        <w:t xml:space="preserve"> needed to ensure that confidential information is handled legally, securely, efficiently, effectively and in a way which maintains public trust.  It is based on the balance established in law between privacy and sharing of confidential data which is fundamental to health and social care.</w:t>
      </w:r>
      <w:r w:rsidRPr="005B77AF" w:rsidR="004F07EF">
        <w:rPr>
          <w:rFonts w:ascii="Arial" w:hAnsi="Arial" w:eastAsia="Calibri" w:cs="Arial"/>
          <w:lang w:val="en-US"/>
        </w:rPr>
        <w:t xml:space="preserve"> </w:t>
      </w:r>
    </w:p>
    <w:p w:rsidRPr="005B77AF" w:rsidR="00142A2D" w:rsidP="2613DA97" w:rsidRDefault="00F13B98" w14:paraId="48FC1E9D" w14:textId="4DCFFBF6">
      <w:pPr>
        <w:pStyle w:val="Default"/>
        <w:spacing w:before="120" w:line="288" w:lineRule="auto"/>
        <w:rPr>
          <w:rFonts w:ascii="Arial" w:hAnsi="Arial" w:cs="Arial"/>
          <w:lang w:val="en-US"/>
        </w:rPr>
      </w:pPr>
      <w:r w:rsidRPr="13757D61">
        <w:rPr>
          <w:rFonts w:ascii="Arial" w:hAnsi="Arial" w:cs="Arial"/>
          <w:lang w:val="en-US"/>
        </w:rPr>
        <w:t xml:space="preserve">Practice policies and any associated guidelines on information governance should be updated to cover </w:t>
      </w:r>
      <w:r w:rsidRPr="13757D61" w:rsidR="00CA00DD">
        <w:rPr>
          <w:rFonts w:ascii="Arial" w:hAnsi="Arial" w:cs="Arial"/>
          <w:lang w:val="en-US"/>
        </w:rPr>
        <w:t xml:space="preserve">GP </w:t>
      </w:r>
      <w:r w:rsidRPr="13757D61">
        <w:rPr>
          <w:rFonts w:ascii="Arial" w:hAnsi="Arial" w:cs="Arial"/>
          <w:lang w:val="en-US"/>
        </w:rPr>
        <w:t>o</w:t>
      </w:r>
      <w:r w:rsidRPr="13757D61" w:rsidR="00CA00DD">
        <w:rPr>
          <w:rFonts w:ascii="Arial" w:hAnsi="Arial" w:cs="Arial"/>
          <w:lang w:val="en-US"/>
        </w:rPr>
        <w:t xml:space="preserve">nline </w:t>
      </w:r>
      <w:r w:rsidRPr="13757D61">
        <w:rPr>
          <w:rFonts w:ascii="Arial" w:hAnsi="Arial" w:cs="Arial"/>
          <w:lang w:val="en-US"/>
        </w:rPr>
        <w:t>s</w:t>
      </w:r>
      <w:r w:rsidRPr="13757D61" w:rsidR="00CA00DD">
        <w:rPr>
          <w:rFonts w:ascii="Arial" w:hAnsi="Arial" w:cs="Arial"/>
          <w:lang w:val="en-US"/>
        </w:rPr>
        <w:t>ervices</w:t>
      </w:r>
      <w:r w:rsidRPr="13757D61">
        <w:rPr>
          <w:rFonts w:ascii="Arial" w:hAnsi="Arial" w:cs="Arial"/>
          <w:lang w:val="en-US"/>
        </w:rPr>
        <w:t xml:space="preserve">. </w:t>
      </w:r>
      <w:r w:rsidRPr="13757D61" w:rsidR="00AC43BA">
        <w:rPr>
          <w:rFonts w:ascii="Arial" w:hAnsi="Arial" w:cs="Arial"/>
          <w:lang w:val="en-US"/>
        </w:rPr>
        <w:t xml:space="preserve"> </w:t>
      </w:r>
      <w:r w:rsidRPr="13757D61">
        <w:rPr>
          <w:rFonts w:ascii="Arial" w:hAnsi="Arial" w:cs="Arial"/>
          <w:lang w:val="en-US"/>
        </w:rPr>
        <w:t xml:space="preserve">All </w:t>
      </w:r>
      <w:r w:rsidRPr="13757D61" w:rsidR="00AC43BA">
        <w:rPr>
          <w:rFonts w:ascii="Arial" w:hAnsi="Arial" w:cs="Arial"/>
          <w:lang w:val="en-US"/>
        </w:rPr>
        <w:t>team</w:t>
      </w:r>
      <w:r w:rsidRPr="13757D61">
        <w:rPr>
          <w:rFonts w:ascii="Arial" w:hAnsi="Arial" w:cs="Arial"/>
          <w:lang w:val="en-US"/>
        </w:rPr>
        <w:t xml:space="preserve"> members need to understand what to do, particularly in circumstances that may be unfamiliar to them.</w:t>
      </w:r>
    </w:p>
    <w:p w:rsidRPr="005B77AF" w:rsidR="00136540" w:rsidP="5C56E11B" w:rsidRDefault="00F13B98" w14:paraId="7268FB10" w14:textId="14C03D44">
      <w:pPr>
        <w:pStyle w:val="nhsd-t-body"/>
        <w:spacing w:before="120" w:beforeAutospacing="0" w:after="0" w:afterAutospacing="0" w:line="288" w:lineRule="auto"/>
        <w:rPr>
          <w:rFonts w:ascii="Arial" w:hAnsi="Arial" w:eastAsia="Calibri" w:cs="Arial"/>
          <w:sz w:val="22"/>
          <w:szCs w:val="22"/>
          <w:lang w:val="en-US"/>
        </w:rPr>
      </w:pPr>
      <w:r w:rsidRPr="005B77AF">
        <w:rPr>
          <w:rFonts w:ascii="Arial" w:hAnsi="Arial" w:eastAsia="Calibri" w:cs="Arial"/>
          <w:sz w:val="22"/>
          <w:szCs w:val="22"/>
          <w:lang w:val="en-US"/>
        </w:rPr>
        <w:t>If doubts arise about how to manage a specific event, you can seek specialist advice on information governance issues from Local Medical Committees,</w:t>
      </w:r>
      <w:r w:rsidRPr="005B77AF" w:rsidR="00141991">
        <w:rPr>
          <w:rFonts w:ascii="Arial" w:hAnsi="Arial" w:eastAsia="Calibri" w:cs="Arial"/>
          <w:sz w:val="22"/>
          <w:szCs w:val="22"/>
          <w:lang w:val="en-US"/>
        </w:rPr>
        <w:t xml:space="preserve"> </w:t>
      </w:r>
      <w:r w:rsidR="00AC43BA">
        <w:rPr>
          <w:rFonts w:ascii="Arial" w:hAnsi="Arial" w:eastAsia="Calibri" w:cs="Arial"/>
          <w:sz w:val="22"/>
          <w:szCs w:val="22"/>
          <w:lang w:val="en-US"/>
        </w:rPr>
        <w:t>local</w:t>
      </w:r>
      <w:r w:rsidRPr="005B77AF" w:rsidR="00141991">
        <w:rPr>
          <w:rFonts w:ascii="Arial" w:hAnsi="Arial" w:eastAsia="Calibri" w:cs="Arial"/>
          <w:sz w:val="22"/>
          <w:szCs w:val="22"/>
          <w:lang w:val="en-US"/>
        </w:rPr>
        <w:t xml:space="preserve"> Caldicott Guardian</w:t>
      </w:r>
      <w:r w:rsidR="00AC43BA">
        <w:rPr>
          <w:rFonts w:ascii="Arial" w:hAnsi="Arial" w:eastAsia="Calibri" w:cs="Arial"/>
          <w:sz w:val="22"/>
          <w:szCs w:val="22"/>
          <w:lang w:val="en-US"/>
        </w:rPr>
        <w:t>s</w:t>
      </w:r>
      <w:r w:rsidRPr="005B77AF" w:rsidR="00F7668D">
        <w:rPr>
          <w:rFonts w:ascii="Arial" w:hAnsi="Arial" w:eastAsia="Calibri" w:cs="Arial"/>
          <w:sz w:val="22"/>
          <w:szCs w:val="22"/>
          <w:lang w:val="en-US"/>
        </w:rPr>
        <w:t>,</w:t>
      </w:r>
      <w:r w:rsidRPr="005B77AF">
        <w:rPr>
          <w:rFonts w:ascii="Arial" w:hAnsi="Arial" w:eastAsia="Calibri" w:cs="Arial"/>
          <w:sz w:val="22"/>
          <w:szCs w:val="22"/>
          <w:lang w:val="en-US"/>
        </w:rPr>
        <w:t xml:space="preserve"> medical </w:t>
      </w:r>
      <w:r w:rsidRPr="005B77AF" w:rsidR="00CA00DD">
        <w:rPr>
          <w:rFonts w:ascii="Arial" w:hAnsi="Arial" w:eastAsia="Calibri" w:cs="Arial"/>
          <w:sz w:val="22"/>
          <w:szCs w:val="22"/>
          <w:lang w:val="en-US"/>
        </w:rPr>
        <w:t>indemnity</w:t>
      </w:r>
      <w:r w:rsidRPr="005B77AF">
        <w:rPr>
          <w:rFonts w:ascii="Arial" w:hAnsi="Arial" w:eastAsia="Calibri" w:cs="Arial"/>
          <w:sz w:val="22"/>
          <w:szCs w:val="22"/>
          <w:lang w:val="en-US"/>
        </w:rPr>
        <w:t xml:space="preserve"> </w:t>
      </w:r>
      <w:proofErr w:type="spellStart"/>
      <w:r w:rsidRPr="005B77AF">
        <w:rPr>
          <w:rFonts w:ascii="Arial" w:hAnsi="Arial" w:eastAsia="Calibri" w:cs="Arial"/>
          <w:sz w:val="22"/>
          <w:szCs w:val="22"/>
          <w:lang w:val="en-US"/>
        </w:rPr>
        <w:t>organisations</w:t>
      </w:r>
      <w:proofErr w:type="spellEnd"/>
      <w:r w:rsidRPr="005B77AF">
        <w:rPr>
          <w:rFonts w:ascii="Arial" w:hAnsi="Arial" w:eastAsia="Calibri" w:cs="Arial"/>
          <w:sz w:val="22"/>
          <w:szCs w:val="22"/>
          <w:lang w:val="en-US"/>
        </w:rPr>
        <w:t xml:space="preserve">, or the General Medical Council. </w:t>
      </w:r>
      <w:r w:rsidRPr="005B77AF" w:rsidR="00136540">
        <w:rPr>
          <w:rFonts w:ascii="Arial" w:hAnsi="Arial" w:eastAsia="Calibri" w:cs="Arial"/>
          <w:sz w:val="22"/>
          <w:szCs w:val="22"/>
          <w:lang w:val="en-US"/>
        </w:rPr>
        <w:t xml:space="preserve"> </w:t>
      </w:r>
    </w:p>
    <w:p w:rsidRPr="00AC43BA" w:rsidR="00136540" w:rsidP="13757D61" w:rsidRDefault="00BE612E" w14:paraId="26B184D5" w14:textId="71E32662">
      <w:pPr>
        <w:pStyle w:val="nhsd-t-body"/>
        <w:spacing w:before="120" w:beforeAutospacing="0" w:after="0" w:afterAutospacing="0" w:line="288" w:lineRule="auto"/>
        <w:rPr>
          <w:rFonts w:ascii="Arial" w:hAnsi="Arial" w:eastAsia="Calibri" w:cs="Arial"/>
          <w:color w:val="00B050"/>
          <w:sz w:val="22"/>
          <w:szCs w:val="22"/>
          <w:lang w:val="en-US"/>
        </w:rPr>
      </w:pPr>
      <w:r w:rsidRPr="00873819">
        <w:rPr>
          <w:rFonts w:ascii="Webdings" w:hAnsi="Webdings" w:eastAsia="Calibri" w:cs="Arial"/>
          <w:sz w:val="22"/>
          <w:szCs w:val="22"/>
        </w:rPr>
        <w:t>i</w:t>
      </w:r>
      <w:r w:rsidRPr="13757D61">
        <w:rPr>
          <w:rFonts w:ascii="Arial" w:hAnsi="Arial" w:eastAsia="Calibri" w:cs="Arial"/>
          <w:color w:val="00B050"/>
          <w:sz w:val="22"/>
          <w:szCs w:val="22"/>
          <w:lang w:val="en-US"/>
        </w:rPr>
        <w:t xml:space="preserve"> </w:t>
      </w:r>
      <w:r w:rsidRPr="00BE612E" w:rsidR="00136540">
        <w:rPr>
          <w:rFonts w:ascii="Arial" w:hAnsi="Arial" w:eastAsia="Calibri" w:cs="Arial"/>
          <w:sz w:val="22"/>
          <w:szCs w:val="22"/>
          <w:lang w:val="en-US"/>
        </w:rPr>
        <w:t xml:space="preserve">Advice </w:t>
      </w:r>
      <w:r w:rsidRPr="00BE612E" w:rsidR="00F13B98">
        <w:rPr>
          <w:rFonts w:ascii="Arial" w:hAnsi="Arial" w:eastAsia="Calibri" w:cs="Arial"/>
          <w:sz w:val="22"/>
          <w:szCs w:val="22"/>
          <w:lang w:val="en-US"/>
        </w:rPr>
        <w:t>can be sought from the Information Governance Alliance</w:t>
      </w:r>
      <w:hyperlink w:history="1" r:id="rId11">
        <w:r w:rsidRPr="00324CFE" w:rsidR="00AC43BA">
          <w:rPr>
            <w:rStyle w:val="Hyperlink"/>
            <w:rFonts w:ascii="Arial" w:hAnsi="Arial" w:eastAsia="Calibri" w:cs="Arial"/>
            <w:sz w:val="22"/>
            <w:szCs w:val="22"/>
            <w:lang w:val="en-US"/>
          </w:rPr>
          <w:t xml:space="preserve">, </w:t>
        </w:r>
        <w:r w:rsidRPr="00324CFE" w:rsidR="00136540">
          <w:rPr>
            <w:rStyle w:val="Hyperlink"/>
            <w:rFonts w:ascii="Arial" w:hAnsi="Arial" w:eastAsia="Calibri" w:cs="Arial"/>
            <w:sz w:val="22"/>
            <w:szCs w:val="22"/>
            <w:lang w:val="en-US"/>
          </w:rPr>
          <w:t>https://digital.nhs.uk/data-and-information/looking-after-information/data-security-and-information-governance/information-governance-alliance-iga</w:t>
        </w:r>
      </w:hyperlink>
      <w:r w:rsidRPr="00BE612E" w:rsidR="00AC43BA">
        <w:rPr>
          <w:rFonts w:ascii="Arial" w:hAnsi="Arial" w:eastAsia="Calibri" w:cs="Arial"/>
          <w:sz w:val="22"/>
          <w:szCs w:val="22"/>
          <w:lang w:val="en-US"/>
        </w:rPr>
        <w:t xml:space="preserve"> </w:t>
      </w:r>
    </w:p>
    <w:p w:rsidRPr="00AC43BA" w:rsidR="00142A2D" w:rsidP="13757D61" w:rsidRDefault="00BE612E" w14:paraId="2DDEC6A5" w14:textId="1A02A52C">
      <w:pPr>
        <w:pStyle w:val="nhsd-t-body"/>
        <w:spacing w:before="120" w:beforeAutospacing="0" w:after="0" w:afterAutospacing="0" w:line="288" w:lineRule="auto"/>
        <w:rPr>
          <w:rFonts w:ascii="Arial" w:hAnsi="Arial" w:cs="Arial"/>
          <w:color w:val="00B050"/>
          <w:sz w:val="22"/>
          <w:szCs w:val="22"/>
        </w:rPr>
      </w:pPr>
      <w:r w:rsidRPr="00873819">
        <w:rPr>
          <w:rFonts w:ascii="Webdings" w:hAnsi="Webdings" w:eastAsia="Calibri" w:cs="Arial"/>
          <w:sz w:val="22"/>
          <w:szCs w:val="22"/>
        </w:rPr>
        <w:t>i</w:t>
      </w:r>
      <w:r w:rsidRPr="00AC43BA">
        <w:rPr>
          <w:rFonts w:ascii="Arial" w:hAnsi="Arial" w:cs="Arial"/>
          <w:color w:val="00B050"/>
          <w:sz w:val="22"/>
          <w:szCs w:val="22"/>
        </w:rPr>
        <w:t xml:space="preserve"> </w:t>
      </w:r>
      <w:r w:rsidRPr="00BE612E" w:rsidR="66B5A326">
        <w:rPr>
          <w:rFonts w:ascii="Arial" w:hAnsi="Arial" w:cs="Arial"/>
          <w:sz w:val="22"/>
          <w:szCs w:val="22"/>
        </w:rPr>
        <w:t>NHS</w:t>
      </w:r>
      <w:r w:rsidRPr="00BE612E" w:rsidR="4D214490">
        <w:rPr>
          <w:rFonts w:ascii="Arial" w:hAnsi="Arial" w:cs="Arial"/>
          <w:sz w:val="22"/>
          <w:szCs w:val="22"/>
        </w:rPr>
        <w:t xml:space="preserve"> England</w:t>
      </w:r>
      <w:r w:rsidRPr="00BE612E" w:rsidR="66B5A326">
        <w:rPr>
          <w:rFonts w:ascii="Arial" w:hAnsi="Arial" w:cs="Arial"/>
          <w:sz w:val="22"/>
          <w:szCs w:val="22"/>
        </w:rPr>
        <w:t xml:space="preserve"> ha</w:t>
      </w:r>
      <w:r w:rsidRPr="00BE612E" w:rsidR="4D214490">
        <w:rPr>
          <w:rFonts w:ascii="Arial" w:hAnsi="Arial" w:cs="Arial"/>
          <w:sz w:val="22"/>
          <w:szCs w:val="22"/>
        </w:rPr>
        <w:t xml:space="preserve">s </w:t>
      </w:r>
      <w:r w:rsidRPr="00BE612E" w:rsidR="66B5A326">
        <w:rPr>
          <w:rFonts w:ascii="Arial" w:hAnsi="Arial" w:cs="Arial"/>
          <w:sz w:val="22"/>
          <w:szCs w:val="22"/>
        </w:rPr>
        <w:t>launched an Information Governance (IG) Portal,</w:t>
      </w:r>
      <w:r w:rsidRPr="00BE612E" w:rsidR="66B5A326">
        <w:rPr>
          <w:rStyle w:val="apple-converted-space"/>
          <w:rFonts w:ascii="Arial" w:hAnsi="Arial" w:cs="Arial"/>
          <w:sz w:val="22"/>
          <w:szCs w:val="22"/>
        </w:rPr>
        <w:t> </w:t>
      </w:r>
      <w:hyperlink w:history="1" r:id="rId12">
        <w:r w:rsidRPr="00324CFE" w:rsidR="66B5A326">
          <w:rPr>
            <w:rStyle w:val="Hyperlink"/>
            <w:rFonts w:ascii="Arial" w:hAnsi="Arial" w:cs="Arial"/>
            <w:sz w:val="22"/>
            <w:szCs w:val="22"/>
            <w:bdr w:val="none" w:color="auto" w:sz="0" w:space="0" w:frame="1"/>
          </w:rPr>
          <w:t>www.nhsx.nhs.uk/information-governance</w:t>
        </w:r>
        <w:r w:rsidRPr="00324CFE" w:rsidR="66B5A326">
          <w:rPr>
            <w:rStyle w:val="Hyperlink"/>
            <w:rFonts w:ascii="Arial" w:hAnsi="Arial" w:cs="Arial"/>
            <w:sz w:val="22"/>
            <w:szCs w:val="22"/>
          </w:rPr>
          <w:t> </w:t>
        </w:r>
      </w:hyperlink>
      <w:r w:rsidRPr="00BE612E" w:rsidR="66B5A326">
        <w:rPr>
          <w:rFonts w:ascii="Arial" w:hAnsi="Arial" w:cs="Arial"/>
          <w:sz w:val="22"/>
          <w:szCs w:val="22"/>
        </w:rPr>
        <w:t xml:space="preserve">on behalf of the Health and Care IG Panel which </w:t>
      </w:r>
      <w:r w:rsidRPr="00BE612E" w:rsidR="00A846E4">
        <w:rPr>
          <w:rFonts w:ascii="Arial" w:hAnsi="Arial" w:cs="Arial"/>
          <w:sz w:val="22"/>
          <w:szCs w:val="22"/>
        </w:rPr>
        <w:t xml:space="preserve">is </w:t>
      </w:r>
      <w:r w:rsidRPr="00BE612E" w:rsidR="66B5A326">
        <w:rPr>
          <w:rFonts w:ascii="Arial" w:hAnsi="Arial" w:cs="Arial"/>
          <w:sz w:val="22"/>
          <w:szCs w:val="22"/>
        </w:rPr>
        <w:t xml:space="preserve">the one stop shop for IG guidance and advice </w:t>
      </w:r>
    </w:p>
    <w:p w:rsidRPr="00136540" w:rsidR="00136540" w:rsidP="00136540" w:rsidRDefault="00136540" w14:paraId="227B57D2" w14:textId="77777777">
      <w:pPr>
        <w:pStyle w:val="nhsd-t-body"/>
        <w:spacing w:before="120" w:beforeAutospacing="0" w:after="0" w:afterAutospacing="0" w:line="288" w:lineRule="auto"/>
        <w:rPr>
          <w:rFonts w:ascii="Arial" w:hAnsi="Arial" w:cs="Arial"/>
          <w:color w:val="000000" w:themeColor="text1"/>
          <w:sz w:val="22"/>
          <w:szCs w:val="22"/>
        </w:rPr>
      </w:pPr>
    </w:p>
    <w:p w:rsidRPr="00873819" w:rsidR="00142A2D" w:rsidP="00BE2F58" w:rsidRDefault="00CC69CC" w14:paraId="6652CC63" w14:textId="6DDE51B9">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Lato" w:hAnsi="Lato" w:cs="Arial"/>
          <w:b/>
          <w:bCs/>
          <w:color w:val="000000" w:themeColor="text1"/>
          <w:sz w:val="32"/>
          <w:szCs w:val="32"/>
          <w:lang w:val="en-US"/>
        </w:rPr>
      </w:pPr>
      <w:r w:rsidRPr="00873819">
        <w:rPr>
          <w:rFonts w:ascii="Lato" w:hAnsi="Lato" w:cs="Arial"/>
          <w:b/>
          <w:bCs/>
          <w:color w:val="000000" w:themeColor="text1"/>
          <w:sz w:val="32"/>
          <w:szCs w:val="32"/>
          <w:lang w:val="en-US"/>
        </w:rPr>
        <w:t>Applications for GP Online Services</w:t>
      </w:r>
    </w:p>
    <w:p w:rsidRPr="005B77AF" w:rsidR="00436D3C" w:rsidP="13757D61" w:rsidRDefault="00436D3C" w14:paraId="57D01523" w14:textId="188DD7D7">
      <w:pPr>
        <w:pStyle w:val="paragraph"/>
        <w:spacing w:before="120" w:beforeAutospacing="0" w:after="0" w:afterAutospacing="0" w:line="288" w:lineRule="auto"/>
        <w:jc w:val="both"/>
        <w:textAlignment w:val="baseline"/>
        <w:rPr>
          <w:rFonts w:ascii="Arial" w:hAnsi="Arial" w:cs="Arial"/>
          <w:sz w:val="22"/>
          <w:szCs w:val="22"/>
        </w:rPr>
      </w:pPr>
      <w:r w:rsidRPr="13757D61">
        <w:rPr>
          <w:rStyle w:val="normaltextrun"/>
          <w:rFonts w:ascii="Arial" w:hAnsi="Arial" w:cs="Arial"/>
          <w:color w:val="000000" w:themeColor="text1"/>
          <w:sz w:val="22"/>
          <w:szCs w:val="22"/>
          <w:lang w:val="en-US"/>
        </w:rPr>
        <w:t>The principles of information governance are very important in registering patients</w:t>
      </w:r>
      <w:r w:rsidRPr="13757D61" w:rsidR="002355E1">
        <w:rPr>
          <w:rStyle w:val="normaltextrun"/>
          <w:rFonts w:ascii="Arial" w:hAnsi="Arial" w:cs="Arial"/>
          <w:color w:val="000000" w:themeColor="text1"/>
          <w:sz w:val="22"/>
          <w:szCs w:val="22"/>
          <w:lang w:val="en-US"/>
        </w:rPr>
        <w:t xml:space="preserve"> who have requested</w:t>
      </w:r>
      <w:r w:rsidRPr="13757D61">
        <w:rPr>
          <w:rStyle w:val="normaltextrun"/>
          <w:rFonts w:ascii="Arial" w:hAnsi="Arial" w:cs="Arial"/>
          <w:color w:val="000000" w:themeColor="text1"/>
          <w:sz w:val="22"/>
          <w:szCs w:val="22"/>
          <w:lang w:val="en-US"/>
        </w:rPr>
        <w:t xml:space="preserve"> </w:t>
      </w:r>
      <w:r w:rsidRPr="13757D61" w:rsidR="007777B1">
        <w:rPr>
          <w:rStyle w:val="normaltextrun"/>
          <w:rFonts w:ascii="Arial" w:hAnsi="Arial" w:cs="Arial"/>
          <w:color w:val="000000" w:themeColor="text1"/>
          <w:sz w:val="22"/>
          <w:szCs w:val="22"/>
          <w:lang w:val="en-US"/>
        </w:rPr>
        <w:t xml:space="preserve">access to </w:t>
      </w:r>
      <w:r w:rsidRPr="13757D61">
        <w:rPr>
          <w:rStyle w:val="normaltextrun"/>
          <w:rFonts w:ascii="Arial" w:hAnsi="Arial" w:cs="Arial"/>
          <w:color w:val="000000" w:themeColor="text1"/>
          <w:sz w:val="22"/>
          <w:szCs w:val="22"/>
          <w:lang w:val="en-US"/>
        </w:rPr>
        <w:t xml:space="preserve">GP </w:t>
      </w:r>
      <w:r w:rsidRPr="13757D61" w:rsidR="317E3245">
        <w:rPr>
          <w:rStyle w:val="normaltextrun"/>
          <w:rFonts w:ascii="Arial" w:hAnsi="Arial" w:cs="Arial"/>
          <w:color w:val="000000" w:themeColor="text1"/>
          <w:sz w:val="22"/>
          <w:szCs w:val="22"/>
          <w:lang w:val="en-US"/>
        </w:rPr>
        <w:t>O</w:t>
      </w:r>
      <w:r w:rsidRPr="13757D61">
        <w:rPr>
          <w:rStyle w:val="normaltextrun"/>
          <w:rFonts w:ascii="Arial" w:hAnsi="Arial" w:cs="Arial"/>
          <w:color w:val="000000" w:themeColor="text1"/>
          <w:sz w:val="22"/>
          <w:szCs w:val="22"/>
          <w:lang w:val="en-US"/>
        </w:rPr>
        <w:t xml:space="preserve">nline </w:t>
      </w:r>
      <w:r w:rsidRPr="13757D61" w:rsidR="182F4434">
        <w:rPr>
          <w:rStyle w:val="normaltextrun"/>
          <w:rFonts w:ascii="Arial" w:hAnsi="Arial" w:cs="Arial"/>
          <w:color w:val="000000" w:themeColor="text1"/>
          <w:sz w:val="22"/>
          <w:szCs w:val="22"/>
          <w:lang w:val="en-US"/>
        </w:rPr>
        <w:t>S</w:t>
      </w:r>
      <w:r w:rsidRPr="13757D61">
        <w:rPr>
          <w:rStyle w:val="normaltextrun"/>
          <w:rFonts w:ascii="Arial" w:hAnsi="Arial" w:cs="Arial"/>
          <w:color w:val="000000" w:themeColor="text1"/>
          <w:sz w:val="22"/>
          <w:szCs w:val="22"/>
          <w:lang w:val="en-US"/>
        </w:rPr>
        <w:t>ervices.</w:t>
      </w:r>
      <w:r w:rsidRPr="13757D61" w:rsidR="002355E1">
        <w:rPr>
          <w:rStyle w:val="normaltextrun"/>
          <w:rFonts w:ascii="Arial" w:hAnsi="Arial" w:cs="Arial"/>
          <w:color w:val="000000" w:themeColor="text1"/>
          <w:sz w:val="22"/>
          <w:szCs w:val="22"/>
          <w:lang w:val="en-US"/>
        </w:rPr>
        <w:t xml:space="preserve"> </w:t>
      </w:r>
      <w:r w:rsidRPr="13757D61" w:rsidR="005434C8">
        <w:rPr>
          <w:rStyle w:val="normaltextrun"/>
          <w:rFonts w:ascii="Arial" w:hAnsi="Arial" w:cs="Arial"/>
          <w:color w:val="000000" w:themeColor="text1"/>
          <w:sz w:val="22"/>
          <w:szCs w:val="22"/>
          <w:lang w:val="en-US"/>
        </w:rPr>
        <w:t xml:space="preserve">They are introduced here and discussed in more detail in the following sections of the guidance: </w:t>
      </w:r>
    </w:p>
    <w:p w:rsidR="00436D3C" w:rsidP="08A368FD" w:rsidRDefault="0ACC94DF" w14:paraId="64C7CC49" w14:textId="2DA61C47">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sidRPr="25055E6A">
        <w:rPr>
          <w:rStyle w:val="normaltextrun"/>
          <w:rFonts w:ascii="Arial" w:hAnsi="Arial" w:cs="Arial"/>
          <w:color w:val="000000" w:themeColor="text1"/>
          <w:sz w:val="22"/>
          <w:szCs w:val="22"/>
          <w:lang w:val="en-US"/>
        </w:rPr>
        <w:t>Always actively seek evidence o</w:t>
      </w:r>
      <w:r w:rsidR="00F26A49">
        <w:rPr>
          <w:rStyle w:val="normaltextrun"/>
          <w:rFonts w:ascii="Arial" w:hAnsi="Arial" w:cs="Arial"/>
          <w:color w:val="000000" w:themeColor="text1"/>
          <w:sz w:val="22"/>
          <w:szCs w:val="22"/>
          <w:lang w:val="en-US"/>
        </w:rPr>
        <w:t xml:space="preserve">f </w:t>
      </w:r>
      <w:r w:rsidR="00F26A49">
        <w:rPr>
          <w:rStyle w:val="normaltextrun"/>
          <w:rFonts w:ascii="Arial" w:hAnsi="Arial" w:cs="Arial"/>
          <w:b/>
          <w:bCs/>
          <w:color w:val="000000" w:themeColor="text1"/>
          <w:sz w:val="22"/>
          <w:szCs w:val="22"/>
          <w:lang w:val="en-US"/>
        </w:rPr>
        <w:t>co</w:t>
      </w:r>
      <w:r w:rsidRPr="25055E6A">
        <w:rPr>
          <w:rStyle w:val="normaltextrun"/>
          <w:rFonts w:ascii="Arial" w:hAnsi="Arial" w:cs="Arial"/>
          <w:b/>
          <w:bCs/>
          <w:color w:val="000000" w:themeColor="text1"/>
          <w:sz w:val="22"/>
          <w:szCs w:val="22"/>
          <w:lang w:val="en-US"/>
        </w:rPr>
        <w:t>ercion</w:t>
      </w:r>
      <w:r w:rsidRPr="25055E6A">
        <w:rPr>
          <w:rStyle w:val="normaltextrun"/>
          <w:rFonts w:ascii="Arial" w:hAnsi="Arial" w:cs="Arial"/>
          <w:color w:val="000000" w:themeColor="text1"/>
          <w:sz w:val="22"/>
          <w:szCs w:val="22"/>
          <w:lang w:val="en-US"/>
        </w:rPr>
        <w:t xml:space="preserve"> of the patient to allow someone else to have access to their online services or record unwillingly and act on any suspicion that this may happen.</w:t>
      </w:r>
    </w:p>
    <w:p w:rsidR="00436D3C" w:rsidP="00436D3C" w:rsidRDefault="00436D3C" w14:paraId="5FF4EDED" w14:textId="77777777">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Pr>
          <w:rStyle w:val="normaltextrun"/>
          <w:rFonts w:ascii="Arial" w:hAnsi="Arial" w:cs="Arial"/>
          <w:color w:val="000000"/>
          <w:sz w:val="22"/>
          <w:szCs w:val="22"/>
          <w:lang w:val="en-US"/>
        </w:rPr>
        <w:t xml:space="preserve">Take extra care when signing up applicants for </w:t>
      </w:r>
      <w:r>
        <w:rPr>
          <w:rStyle w:val="normaltextrun"/>
          <w:rFonts w:ascii="Arial" w:hAnsi="Arial" w:cs="Arial"/>
          <w:b/>
          <w:bCs/>
          <w:color w:val="000000"/>
          <w:sz w:val="22"/>
          <w:szCs w:val="22"/>
          <w:lang w:val="en-US"/>
        </w:rPr>
        <w:t>record access</w:t>
      </w:r>
      <w:r>
        <w:rPr>
          <w:rStyle w:val="normaltextrun"/>
          <w:rFonts w:ascii="Arial" w:hAnsi="Arial" w:cs="Arial"/>
          <w:color w:val="000000"/>
          <w:sz w:val="22"/>
          <w:szCs w:val="22"/>
          <w:lang w:val="en-US"/>
        </w:rPr>
        <w:t xml:space="preserve"> because of the risk of exposure of particularly potentially harmful confidential patient information.</w:t>
      </w:r>
      <w:r>
        <w:rPr>
          <w:rStyle w:val="eop"/>
          <w:rFonts w:ascii="Arial" w:hAnsi="Arial" w:cs="Arial"/>
          <w:color w:val="000000"/>
          <w:sz w:val="22"/>
          <w:szCs w:val="22"/>
        </w:rPr>
        <w:t> </w:t>
      </w:r>
    </w:p>
    <w:p w:rsidR="00436D3C" w:rsidP="6EBA0D59" w:rsidRDefault="00436D3C" w14:paraId="52587C08" w14:textId="0456A084">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sidRPr="6EBA0D59">
        <w:rPr>
          <w:rStyle w:val="normaltextrun"/>
          <w:rFonts w:ascii="Arial" w:hAnsi="Arial" w:cs="Arial"/>
          <w:b/>
          <w:bCs/>
          <w:color w:val="000000" w:themeColor="text1"/>
          <w:sz w:val="22"/>
          <w:szCs w:val="22"/>
          <w:lang w:val="en-US"/>
        </w:rPr>
        <w:t>Verify</w:t>
      </w:r>
      <w:r w:rsidRPr="6EBA0D59">
        <w:rPr>
          <w:rStyle w:val="normaltextrun"/>
          <w:rFonts w:ascii="Arial" w:hAnsi="Arial" w:cs="Arial"/>
          <w:color w:val="000000" w:themeColor="text1"/>
          <w:sz w:val="22"/>
          <w:szCs w:val="22"/>
          <w:lang w:val="en-US"/>
        </w:rPr>
        <w:t xml:space="preserve"> the applicant’s </w:t>
      </w:r>
      <w:r w:rsidRPr="6EBA0D59">
        <w:rPr>
          <w:rStyle w:val="normaltextrun"/>
          <w:rFonts w:ascii="Arial" w:hAnsi="Arial" w:cs="Arial"/>
          <w:b/>
          <w:bCs/>
          <w:color w:val="000000" w:themeColor="text1"/>
          <w:sz w:val="22"/>
          <w:szCs w:val="22"/>
          <w:lang w:val="en-US"/>
        </w:rPr>
        <w:t>identity</w:t>
      </w:r>
      <w:r w:rsidRPr="6EBA0D59">
        <w:rPr>
          <w:rStyle w:val="normaltextrun"/>
          <w:rFonts w:ascii="Arial" w:hAnsi="Arial" w:cs="Arial"/>
          <w:color w:val="000000" w:themeColor="text1"/>
          <w:sz w:val="22"/>
          <w:szCs w:val="22"/>
          <w:lang w:val="en-US"/>
        </w:rPr>
        <w:t xml:space="preserve"> to ensure they relate to the record on your practice clinical system that they are asking to access</w:t>
      </w:r>
      <w:r w:rsidRPr="6EBA0D59">
        <w:rPr>
          <w:rStyle w:val="eop"/>
          <w:rFonts w:ascii="Arial" w:hAnsi="Arial" w:cs="Arial"/>
          <w:color w:val="000000" w:themeColor="text1"/>
          <w:sz w:val="22"/>
          <w:szCs w:val="22"/>
        </w:rPr>
        <w:t>.</w:t>
      </w:r>
    </w:p>
    <w:p w:rsidR="00436D3C" w:rsidP="07A46A74" w:rsidRDefault="00436D3C" w14:paraId="279B1E11" w14:textId="13C2FAE7">
      <w:pPr>
        <w:pStyle w:val="paragraph"/>
        <w:numPr>
          <w:ilvl w:val="0"/>
          <w:numId w:val="25"/>
        </w:numPr>
        <w:spacing w:before="120" w:beforeAutospacing="off" w:after="0" w:afterAutospacing="off" w:line="288" w:lineRule="auto"/>
        <w:ind w:left="567"/>
        <w:jc w:val="both"/>
        <w:textAlignment w:val="baseline"/>
        <w:rPr>
          <w:rFonts w:ascii="Arial" w:hAnsi="Arial" w:cs="Arial"/>
          <w:sz w:val="22"/>
          <w:szCs w:val="22"/>
        </w:rPr>
      </w:pPr>
      <w:r w:rsidRPr="07A46A74" w:rsidR="00436D3C">
        <w:rPr>
          <w:rStyle w:val="normaltextrun"/>
          <w:rFonts w:ascii="Arial" w:hAnsi="Arial" w:cs="Arial"/>
          <w:b w:val="1"/>
          <w:bCs w:val="1"/>
          <w:color w:val="000000" w:themeColor="text1" w:themeTint="FF" w:themeShade="FF"/>
          <w:sz w:val="22"/>
          <w:szCs w:val="22"/>
          <w:lang w:val="en-US"/>
        </w:rPr>
        <w:t>Clinically assure</w:t>
      </w:r>
      <w:r w:rsidRPr="07A46A74" w:rsidR="00436D3C">
        <w:rPr>
          <w:rStyle w:val="normaltextrun"/>
          <w:rFonts w:ascii="Arial" w:hAnsi="Arial" w:cs="Arial"/>
          <w:color w:val="000000" w:themeColor="text1" w:themeTint="FF" w:themeShade="FF"/>
          <w:sz w:val="22"/>
          <w:szCs w:val="22"/>
          <w:lang w:val="en-US"/>
        </w:rPr>
        <w:t xml:space="preserve"> that the record is ready for the patient to read before.  Potentially harmful information may need to be redacted</w:t>
      </w:r>
      <w:r w:rsidRPr="07A46A74" w:rsidR="008933FF">
        <w:rPr>
          <w:rStyle w:val="normaltextrun"/>
          <w:rFonts w:ascii="Arial" w:hAnsi="Arial" w:cs="Arial"/>
          <w:color w:val="000000" w:themeColor="text1" w:themeTint="FF" w:themeShade="FF"/>
          <w:sz w:val="22"/>
          <w:szCs w:val="22"/>
          <w:lang w:val="en-US"/>
        </w:rPr>
        <w:t>.  If that is not possible, consider limiting, refusing or blocking their access as appropriate</w:t>
      </w:r>
      <w:r w:rsidRPr="07A46A74" w:rsidR="03260602">
        <w:rPr>
          <w:rStyle w:val="normaltextrun"/>
          <w:rFonts w:ascii="Arial" w:hAnsi="Arial" w:cs="Arial"/>
          <w:color w:val="000000" w:themeColor="text1" w:themeTint="FF" w:themeShade="FF"/>
          <w:sz w:val="22"/>
          <w:szCs w:val="22"/>
          <w:lang w:val="en-US"/>
        </w:rPr>
        <w:t>.</w:t>
      </w:r>
      <w:r w:rsidRPr="07A46A74" w:rsidR="008933FF">
        <w:rPr>
          <w:rStyle w:val="normaltextrun"/>
          <w:rFonts w:ascii="Arial" w:hAnsi="Arial" w:cs="Arial"/>
          <w:color w:val="000000" w:themeColor="text1" w:themeTint="FF" w:themeShade="FF"/>
          <w:sz w:val="22"/>
          <w:szCs w:val="22"/>
          <w:lang w:val="en-US"/>
        </w:rPr>
        <w:t xml:space="preserve"> </w:t>
      </w:r>
    </w:p>
    <w:p w:rsidRPr="005B77AF" w:rsidR="00436D3C" w:rsidP="07A46A74" w:rsidRDefault="00436D3C" w14:paraId="04DD3FE1" w14:textId="4B349AE8" w14:noSpellErr="1">
      <w:pPr>
        <w:pStyle w:val="paragraph"/>
        <w:numPr>
          <w:ilvl w:val="0"/>
          <w:numId w:val="25"/>
        </w:numPr>
        <w:spacing w:before="120" w:beforeAutospacing="off" w:after="0" w:afterAutospacing="off" w:line="288" w:lineRule="auto"/>
        <w:ind w:left="567"/>
        <w:jc w:val="both"/>
        <w:textAlignment w:val="baseline"/>
        <w:rPr>
          <w:rFonts w:ascii="Arial" w:hAnsi="Arial" w:cs="Arial"/>
          <w:sz w:val="22"/>
          <w:szCs w:val="22"/>
        </w:rPr>
      </w:pPr>
      <w:r w:rsidRPr="07A46A74" w:rsidR="00436D3C">
        <w:rPr>
          <w:rStyle w:val="normaltextrun"/>
          <w:rFonts w:ascii="Arial" w:hAnsi="Arial" w:cs="Arial"/>
          <w:b w:val="1"/>
          <w:bCs w:val="1"/>
          <w:color w:val="000000" w:themeColor="text1" w:themeTint="FF" w:themeShade="FF"/>
          <w:sz w:val="22"/>
          <w:szCs w:val="22"/>
          <w:lang w:val="en-US"/>
        </w:rPr>
        <w:t xml:space="preserve">Provide information </w:t>
      </w:r>
      <w:r w:rsidRPr="07A46A74" w:rsidR="00436D3C">
        <w:rPr>
          <w:rStyle w:val="normaltextrun"/>
          <w:rFonts w:ascii="Arial" w:hAnsi="Arial" w:cs="Arial"/>
          <w:color w:val="000000" w:themeColor="text1" w:themeTint="FF" w:themeShade="FF"/>
          <w:sz w:val="22"/>
          <w:szCs w:val="22"/>
          <w:lang w:val="en-US"/>
        </w:rPr>
        <w:t xml:space="preserve">to the patient about how </w:t>
      </w:r>
      <w:r w:rsidRPr="07A46A74" w:rsidR="00F26A49">
        <w:rPr>
          <w:rStyle w:val="normaltextrun"/>
          <w:rFonts w:ascii="Arial" w:hAnsi="Arial" w:cs="Arial"/>
          <w:color w:val="000000" w:themeColor="text1" w:themeTint="FF" w:themeShade="FF"/>
          <w:sz w:val="22"/>
          <w:szCs w:val="22"/>
          <w:lang w:val="en-US"/>
        </w:rPr>
        <w:t>the practice’s</w:t>
      </w:r>
      <w:r w:rsidRPr="07A46A74" w:rsidR="00436D3C">
        <w:rPr>
          <w:rStyle w:val="normaltextrun"/>
          <w:rFonts w:ascii="Arial" w:hAnsi="Arial" w:cs="Arial"/>
          <w:color w:val="000000" w:themeColor="text1" w:themeTint="FF" w:themeShade="FF"/>
          <w:sz w:val="22"/>
          <w:szCs w:val="22"/>
          <w:lang w:val="en-US"/>
        </w:rPr>
        <w:t xml:space="preserve"> </w:t>
      </w:r>
      <w:r w:rsidRPr="07A46A74" w:rsidR="00F26A49">
        <w:rPr>
          <w:rStyle w:val="normaltextrun"/>
          <w:rFonts w:ascii="Arial" w:hAnsi="Arial" w:cs="Arial"/>
          <w:color w:val="000000" w:themeColor="text1" w:themeTint="FF" w:themeShade="FF"/>
          <w:sz w:val="22"/>
          <w:szCs w:val="22"/>
          <w:lang w:val="en-US"/>
        </w:rPr>
        <w:t>o</w:t>
      </w:r>
      <w:r w:rsidRPr="07A46A74" w:rsidR="00436D3C">
        <w:rPr>
          <w:rStyle w:val="normaltextrun"/>
          <w:rFonts w:ascii="Arial" w:hAnsi="Arial" w:cs="Arial"/>
          <w:color w:val="000000" w:themeColor="text1" w:themeTint="FF" w:themeShade="FF"/>
          <w:sz w:val="22"/>
          <w:szCs w:val="22"/>
          <w:lang w:val="en-US"/>
        </w:rPr>
        <w:t xml:space="preserve">nline </w:t>
      </w:r>
      <w:r w:rsidRPr="07A46A74" w:rsidR="00F26A49">
        <w:rPr>
          <w:rStyle w:val="normaltextrun"/>
          <w:rFonts w:ascii="Arial" w:hAnsi="Arial" w:cs="Arial"/>
          <w:color w:val="000000" w:themeColor="text1" w:themeTint="FF" w:themeShade="FF"/>
          <w:sz w:val="22"/>
          <w:szCs w:val="22"/>
          <w:lang w:val="en-US"/>
        </w:rPr>
        <w:t>s</w:t>
      </w:r>
      <w:r w:rsidRPr="07A46A74" w:rsidR="00436D3C">
        <w:rPr>
          <w:rStyle w:val="normaltextrun"/>
          <w:rFonts w:ascii="Arial" w:hAnsi="Arial" w:cs="Arial"/>
          <w:color w:val="000000" w:themeColor="text1" w:themeTint="FF" w:themeShade="FF"/>
          <w:sz w:val="22"/>
          <w:szCs w:val="22"/>
          <w:lang w:val="en-US"/>
        </w:rPr>
        <w:t xml:space="preserve">ervices work, how to keep their online access secure, </w:t>
      </w:r>
      <w:r w:rsidRPr="07A46A74" w:rsidR="008933FF">
        <w:rPr>
          <w:rStyle w:val="normaltextrun"/>
          <w:rFonts w:ascii="Arial" w:hAnsi="Arial" w:cs="Arial"/>
          <w:color w:val="000000" w:themeColor="text1" w:themeTint="FF" w:themeShade="FF"/>
          <w:sz w:val="22"/>
          <w:szCs w:val="22"/>
          <w:lang w:val="en-US"/>
        </w:rPr>
        <w:t xml:space="preserve">to help them </w:t>
      </w:r>
      <w:r w:rsidRPr="07A46A74" w:rsidR="00436D3C">
        <w:rPr>
          <w:rStyle w:val="normaltextrun"/>
          <w:rFonts w:ascii="Arial" w:hAnsi="Arial" w:cs="Arial"/>
          <w:color w:val="000000" w:themeColor="text1" w:themeTint="FF" w:themeShade="FF"/>
          <w:sz w:val="22"/>
          <w:szCs w:val="22"/>
          <w:lang w:val="en-US"/>
        </w:rPr>
        <w:t xml:space="preserve">understand the health information it contains and </w:t>
      </w:r>
      <w:r w:rsidRPr="07A46A74" w:rsidR="008933FF">
        <w:rPr>
          <w:rStyle w:val="normaltextrun"/>
          <w:rFonts w:ascii="Arial" w:hAnsi="Arial" w:cs="Arial"/>
          <w:color w:val="000000" w:themeColor="text1" w:themeTint="FF" w:themeShade="FF"/>
          <w:sz w:val="22"/>
          <w:szCs w:val="22"/>
          <w:lang w:val="en-US"/>
        </w:rPr>
        <w:t xml:space="preserve">know that </w:t>
      </w:r>
      <w:r w:rsidRPr="07A46A74" w:rsidR="00436D3C">
        <w:rPr>
          <w:rStyle w:val="normaltextrun"/>
          <w:rFonts w:ascii="Arial" w:hAnsi="Arial" w:cs="Arial"/>
          <w:color w:val="000000" w:themeColor="text1" w:themeTint="FF" w:themeShade="FF"/>
          <w:sz w:val="22"/>
          <w:szCs w:val="22"/>
          <w:lang w:val="en-US"/>
        </w:rPr>
        <w:t xml:space="preserve">the practice is ready to discuss any questions </w:t>
      </w:r>
      <w:r w:rsidRPr="07A46A74" w:rsidR="008933FF">
        <w:rPr>
          <w:rStyle w:val="normaltextrun"/>
          <w:rFonts w:ascii="Arial" w:hAnsi="Arial" w:cs="Arial"/>
          <w:color w:val="000000" w:themeColor="text1" w:themeTint="FF" w:themeShade="FF"/>
          <w:sz w:val="22"/>
          <w:szCs w:val="22"/>
          <w:lang w:val="en-US"/>
        </w:rPr>
        <w:t>they</w:t>
      </w:r>
      <w:r w:rsidRPr="07A46A74" w:rsidR="00436D3C">
        <w:rPr>
          <w:rStyle w:val="normaltextrun"/>
          <w:rFonts w:ascii="Arial" w:hAnsi="Arial" w:cs="Arial"/>
          <w:color w:val="000000" w:themeColor="text1" w:themeTint="FF" w:themeShade="FF"/>
          <w:sz w:val="22"/>
          <w:szCs w:val="22"/>
          <w:lang w:val="en-US"/>
        </w:rPr>
        <w:t xml:space="preserve"> may have about their record</w:t>
      </w:r>
      <w:r w:rsidRPr="07A46A74" w:rsidR="2CD5970C">
        <w:rPr>
          <w:rStyle w:val="normaltextrun"/>
          <w:rFonts w:ascii="Arial" w:hAnsi="Arial" w:cs="Arial"/>
          <w:color w:val="000000" w:themeColor="text1" w:themeTint="FF" w:themeShade="FF"/>
          <w:sz w:val="22"/>
          <w:szCs w:val="22"/>
          <w:lang w:val="en-US"/>
        </w:rPr>
        <w:t>.</w:t>
      </w:r>
      <w:r w:rsidRPr="07A46A74" w:rsidR="00436D3C">
        <w:rPr>
          <w:rStyle w:val="eop"/>
          <w:rFonts w:ascii="Arial" w:hAnsi="Arial" w:cs="Arial"/>
          <w:color w:val="000000" w:themeColor="text1" w:themeTint="FF" w:themeShade="FF"/>
          <w:sz w:val="22"/>
          <w:szCs w:val="22"/>
        </w:rPr>
        <w:t> </w:t>
      </w:r>
    </w:p>
    <w:p w:rsidR="00436D3C" w:rsidP="00436D3C" w:rsidRDefault="00436D3C" w14:paraId="36E85C14" w14:textId="77777777">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Pr>
          <w:rStyle w:val="normaltextrun"/>
          <w:rFonts w:ascii="Arial" w:hAnsi="Arial" w:cs="Arial"/>
          <w:b/>
          <w:bCs/>
          <w:color w:val="000000"/>
          <w:sz w:val="22"/>
          <w:szCs w:val="22"/>
          <w:lang w:val="en-US"/>
        </w:rPr>
        <w:lastRenderedPageBreak/>
        <w:t>Deliver login credentials</w:t>
      </w:r>
      <w:r>
        <w:rPr>
          <w:rStyle w:val="normaltextrun"/>
          <w:rFonts w:ascii="Arial" w:hAnsi="Arial" w:cs="Arial"/>
          <w:color w:val="000000"/>
          <w:sz w:val="22"/>
          <w:szCs w:val="22"/>
          <w:lang w:val="en-US"/>
        </w:rPr>
        <w:t xml:space="preserve"> to the patient securely, by the method of their choice, by hand, post or email, ensuring that the patient understands the risks of each method of delivery.</w:t>
      </w:r>
      <w:r>
        <w:rPr>
          <w:rStyle w:val="eop"/>
          <w:rFonts w:ascii="Arial" w:hAnsi="Arial" w:cs="Arial"/>
          <w:color w:val="000000"/>
          <w:sz w:val="22"/>
          <w:szCs w:val="22"/>
        </w:rPr>
        <w:t> </w:t>
      </w:r>
    </w:p>
    <w:p w:rsidR="00436D3C" w:rsidP="00436D3C" w:rsidRDefault="00436D3C" w14:paraId="0B212DBB" w14:textId="77777777">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Pr>
          <w:rStyle w:val="normaltextrun"/>
          <w:rFonts w:ascii="Arial" w:hAnsi="Arial" w:cs="Arial"/>
          <w:color w:val="000000"/>
          <w:sz w:val="22"/>
          <w:szCs w:val="22"/>
          <w:lang w:val="en-US"/>
        </w:rPr>
        <w:t xml:space="preserve">Assess and provide </w:t>
      </w:r>
      <w:r>
        <w:rPr>
          <w:rStyle w:val="normaltextrun"/>
          <w:rFonts w:ascii="Arial" w:hAnsi="Arial" w:cs="Arial"/>
          <w:b/>
          <w:bCs/>
          <w:sz w:val="22"/>
          <w:szCs w:val="22"/>
          <w:lang w:val="en-US"/>
        </w:rPr>
        <w:t>P</w:t>
      </w:r>
      <w:r>
        <w:rPr>
          <w:rStyle w:val="normaltextrun"/>
          <w:rFonts w:ascii="Arial" w:hAnsi="Arial" w:cs="Arial"/>
          <w:b/>
          <w:bCs/>
          <w:color w:val="000000"/>
          <w:sz w:val="22"/>
          <w:szCs w:val="22"/>
          <w:lang w:val="en-US"/>
        </w:rPr>
        <w:t>roxy access</w:t>
      </w:r>
      <w:r>
        <w:rPr>
          <w:rStyle w:val="normaltextrun"/>
          <w:rFonts w:ascii="Arial" w:hAnsi="Arial" w:cs="Arial"/>
          <w:color w:val="000000"/>
          <w:sz w:val="22"/>
          <w:szCs w:val="22"/>
          <w:lang w:val="en-US"/>
        </w:rPr>
        <w:t xml:space="preserve"> by someone acting on behalf of the patient appropriately.  This may be a </w:t>
      </w:r>
      <w:proofErr w:type="spellStart"/>
      <w:r>
        <w:rPr>
          <w:rStyle w:val="normaltextrun"/>
          <w:rFonts w:ascii="Arial" w:hAnsi="Arial" w:cs="Arial"/>
          <w:color w:val="000000"/>
          <w:sz w:val="22"/>
          <w:szCs w:val="22"/>
          <w:lang w:val="en-US"/>
        </w:rPr>
        <w:t>carer</w:t>
      </w:r>
      <w:proofErr w:type="spellEnd"/>
      <w:r>
        <w:rPr>
          <w:rStyle w:val="normaltextrun"/>
          <w:rFonts w:ascii="Arial" w:hAnsi="Arial" w:cs="Arial"/>
          <w:color w:val="000000"/>
          <w:sz w:val="22"/>
          <w:szCs w:val="22"/>
          <w:lang w:val="en-US"/>
        </w:rPr>
        <w:t>, partner or parent, appropriately</w:t>
      </w:r>
      <w:r>
        <w:rPr>
          <w:rStyle w:val="eop"/>
          <w:rFonts w:ascii="Arial" w:hAnsi="Arial" w:cs="Arial"/>
          <w:color w:val="000000"/>
          <w:sz w:val="22"/>
          <w:szCs w:val="22"/>
        </w:rPr>
        <w:t> </w:t>
      </w:r>
    </w:p>
    <w:p w:rsidRPr="005B77AF" w:rsidR="00436D3C" w:rsidP="13757D61" w:rsidRDefault="00436D3C" w14:paraId="12E416D5" w14:textId="7E6168A5">
      <w:pPr>
        <w:pStyle w:val="paragraph"/>
        <w:numPr>
          <w:ilvl w:val="0"/>
          <w:numId w:val="25"/>
        </w:numPr>
        <w:spacing w:before="120" w:beforeAutospacing="0" w:after="0" w:afterAutospacing="0" w:line="288" w:lineRule="auto"/>
        <w:ind w:left="567"/>
        <w:jc w:val="both"/>
        <w:textAlignment w:val="baseline"/>
        <w:rPr>
          <w:rFonts w:ascii="Arial" w:hAnsi="Arial" w:cs="Arial"/>
          <w:sz w:val="22"/>
          <w:szCs w:val="22"/>
        </w:rPr>
      </w:pPr>
      <w:r w:rsidRPr="13757D61">
        <w:rPr>
          <w:rStyle w:val="normaltextrun"/>
          <w:rFonts w:ascii="Arial" w:hAnsi="Arial" w:cs="Arial"/>
          <w:color w:val="000000" w:themeColor="text1"/>
          <w:sz w:val="22"/>
          <w:szCs w:val="22"/>
          <w:lang w:val="en-US"/>
        </w:rPr>
        <w:t xml:space="preserve">Under </w:t>
      </w:r>
      <w:r w:rsidRPr="13757D61" w:rsidR="00CD699A">
        <w:rPr>
          <w:rStyle w:val="normaltextrun"/>
          <w:rFonts w:ascii="Arial" w:hAnsi="Arial" w:cs="Arial"/>
          <w:color w:val="000000" w:themeColor="text1"/>
          <w:sz w:val="22"/>
          <w:szCs w:val="22"/>
          <w:lang w:val="en-US"/>
        </w:rPr>
        <w:t xml:space="preserve">the UK </w:t>
      </w:r>
      <w:r w:rsidRPr="13757D61">
        <w:rPr>
          <w:rStyle w:val="normaltextrun"/>
          <w:rFonts w:ascii="Arial" w:hAnsi="Arial" w:cs="Arial"/>
          <w:color w:val="000000" w:themeColor="text1"/>
          <w:sz w:val="22"/>
          <w:szCs w:val="22"/>
          <w:lang w:val="en-US"/>
        </w:rPr>
        <w:t xml:space="preserve">GDPR, </w:t>
      </w:r>
      <w:r w:rsidRPr="13757D61">
        <w:rPr>
          <w:rStyle w:val="normaltextrun"/>
          <w:rFonts w:ascii="Arial" w:hAnsi="Arial" w:cs="Arial"/>
          <w:b/>
          <w:bCs/>
          <w:color w:val="000000" w:themeColor="text1"/>
          <w:sz w:val="22"/>
          <w:szCs w:val="22"/>
          <w:lang w:val="en-US"/>
        </w:rPr>
        <w:t>children</w:t>
      </w:r>
      <w:r w:rsidRPr="13757D61">
        <w:rPr>
          <w:rStyle w:val="normaltextrun"/>
          <w:rFonts w:ascii="Arial" w:hAnsi="Arial" w:cs="Arial"/>
          <w:color w:val="000000" w:themeColor="text1"/>
          <w:sz w:val="22"/>
          <w:szCs w:val="22"/>
          <w:lang w:val="en-US"/>
        </w:rPr>
        <w:t xml:space="preserve"> under the age of 13 must not be given control of an internet service such as GP </w:t>
      </w:r>
      <w:r w:rsidRPr="13757D61" w:rsidR="1309D8B7">
        <w:rPr>
          <w:rStyle w:val="normaltextrun"/>
          <w:rFonts w:ascii="Arial" w:hAnsi="Arial" w:cs="Arial"/>
          <w:color w:val="000000" w:themeColor="text1"/>
          <w:sz w:val="22"/>
          <w:szCs w:val="22"/>
          <w:lang w:val="en-US"/>
        </w:rPr>
        <w:t>O</w:t>
      </w:r>
      <w:r w:rsidRPr="13757D61">
        <w:rPr>
          <w:rStyle w:val="normaltextrun"/>
          <w:rFonts w:ascii="Arial" w:hAnsi="Arial" w:cs="Arial"/>
          <w:color w:val="000000" w:themeColor="text1"/>
          <w:sz w:val="22"/>
          <w:szCs w:val="22"/>
          <w:lang w:val="en-US"/>
        </w:rPr>
        <w:t xml:space="preserve">nline </w:t>
      </w:r>
      <w:r w:rsidRPr="13757D61" w:rsidR="426A5A0C">
        <w:rPr>
          <w:rStyle w:val="normaltextrun"/>
          <w:rFonts w:ascii="Arial" w:hAnsi="Arial" w:cs="Arial"/>
          <w:color w:val="000000" w:themeColor="text1"/>
          <w:sz w:val="22"/>
          <w:szCs w:val="22"/>
          <w:lang w:val="en-US"/>
        </w:rPr>
        <w:t>S</w:t>
      </w:r>
      <w:r w:rsidRPr="13757D61">
        <w:rPr>
          <w:rStyle w:val="normaltextrun"/>
          <w:rFonts w:ascii="Arial" w:hAnsi="Arial" w:cs="Arial"/>
          <w:color w:val="000000" w:themeColor="text1"/>
          <w:sz w:val="22"/>
          <w:szCs w:val="22"/>
          <w:lang w:val="en-US"/>
        </w:rPr>
        <w:t>ervices.</w:t>
      </w:r>
    </w:p>
    <w:p w:rsidRPr="00BE612E" w:rsidR="00436D3C" w:rsidP="5C56E11B" w:rsidRDefault="00BE612E" w14:paraId="534CB02F" w14:textId="6202C7F9">
      <w:pPr>
        <w:pStyle w:val="paragraph"/>
        <w:spacing w:before="120" w:beforeAutospacing="0" w:after="0" w:afterAutospacing="0" w:line="288" w:lineRule="auto"/>
        <w:jc w:val="both"/>
        <w:textAlignment w:val="baseline"/>
        <w:rPr>
          <w:rFonts w:ascii="Arial" w:hAnsi="Arial" w:cs="Arial"/>
          <w:sz w:val="22"/>
          <w:szCs w:val="22"/>
        </w:rPr>
      </w:pPr>
      <w:r w:rsidRPr="00873819">
        <w:rPr>
          <w:rFonts w:ascii="Webdings" w:hAnsi="Webdings" w:eastAsia="Calibri" w:cs="Arial"/>
          <w:sz w:val="22"/>
          <w:szCs w:val="22"/>
        </w:rPr>
        <w:t>i</w:t>
      </w:r>
      <w:r w:rsidRPr="00E32827">
        <w:rPr>
          <w:rStyle w:val="normaltextrun"/>
          <w:rFonts w:ascii="Arial" w:hAnsi="Arial" w:cs="Arial"/>
          <w:color w:val="00B050"/>
          <w:sz w:val="22"/>
          <w:szCs w:val="22"/>
          <w:lang w:val="en-US"/>
        </w:rPr>
        <w:t xml:space="preserve"> </w:t>
      </w:r>
      <w:r w:rsidRPr="00BE612E" w:rsidR="00436D3C">
        <w:rPr>
          <w:rStyle w:val="normaltextrun"/>
          <w:rFonts w:ascii="Arial" w:hAnsi="Arial" w:cs="Arial"/>
          <w:sz w:val="22"/>
          <w:szCs w:val="22"/>
          <w:lang w:val="en-US"/>
        </w:rPr>
        <w:t xml:space="preserve">There is information about signing up new patients for GP </w:t>
      </w:r>
      <w:r w:rsidRPr="00BE612E" w:rsidR="00F26A49">
        <w:rPr>
          <w:rStyle w:val="normaltextrun"/>
          <w:rFonts w:ascii="Arial" w:hAnsi="Arial" w:cs="Arial"/>
          <w:sz w:val="22"/>
          <w:szCs w:val="22"/>
          <w:lang w:val="en-US"/>
        </w:rPr>
        <w:t>o</w:t>
      </w:r>
      <w:r w:rsidRPr="00BE612E" w:rsidR="00436D3C">
        <w:rPr>
          <w:rStyle w:val="normaltextrun"/>
          <w:rFonts w:ascii="Arial" w:hAnsi="Arial" w:cs="Arial"/>
          <w:sz w:val="22"/>
          <w:szCs w:val="22"/>
          <w:lang w:val="en-US"/>
        </w:rPr>
        <w:t xml:space="preserve">nline </w:t>
      </w:r>
      <w:r w:rsidRPr="00BE612E" w:rsidR="00F26A49">
        <w:rPr>
          <w:rStyle w:val="normaltextrun"/>
          <w:rFonts w:ascii="Arial" w:hAnsi="Arial" w:cs="Arial"/>
          <w:sz w:val="22"/>
          <w:szCs w:val="22"/>
          <w:lang w:val="en-US"/>
        </w:rPr>
        <w:t>s</w:t>
      </w:r>
      <w:r w:rsidRPr="00BE612E" w:rsidR="00436D3C">
        <w:rPr>
          <w:rStyle w:val="normaltextrun"/>
          <w:rFonts w:ascii="Arial" w:hAnsi="Arial" w:cs="Arial"/>
          <w:sz w:val="22"/>
          <w:szCs w:val="22"/>
          <w:lang w:val="en-US"/>
        </w:rPr>
        <w:t>ervices in the section of the Toolkit on Registering New Patients for GP Online Services. </w:t>
      </w:r>
      <w:r w:rsidRPr="00BE612E" w:rsidR="00436D3C">
        <w:rPr>
          <w:rStyle w:val="eop"/>
          <w:rFonts w:ascii="Arial" w:hAnsi="Arial" w:cs="Arial"/>
          <w:sz w:val="22"/>
          <w:szCs w:val="22"/>
        </w:rPr>
        <w:t> </w:t>
      </w:r>
    </w:p>
    <w:p w:rsidRPr="00E32827" w:rsidR="00436D3C" w:rsidP="00436D3C" w:rsidRDefault="00BE612E" w14:paraId="400FEDDD" w14:textId="0738086D">
      <w:pPr>
        <w:pStyle w:val="paragraph"/>
        <w:spacing w:before="120" w:beforeAutospacing="0" w:after="0" w:afterAutospacing="0" w:line="288" w:lineRule="auto"/>
        <w:jc w:val="both"/>
        <w:textAlignment w:val="baseline"/>
        <w:rPr>
          <w:rStyle w:val="eop"/>
          <w:rFonts w:ascii="Arial" w:hAnsi="Arial" w:cs="Arial"/>
          <w:color w:val="00B050"/>
          <w:sz w:val="22"/>
          <w:szCs w:val="22"/>
        </w:rPr>
      </w:pPr>
      <w:r w:rsidRPr="00873819">
        <w:rPr>
          <w:rFonts w:ascii="Webdings" w:hAnsi="Webdings" w:eastAsia="Calibri" w:cs="Arial"/>
          <w:sz w:val="22"/>
          <w:szCs w:val="22"/>
        </w:rPr>
        <w:t>i</w:t>
      </w:r>
      <w:r w:rsidRPr="00E32827">
        <w:rPr>
          <w:rStyle w:val="normaltextrun"/>
          <w:rFonts w:ascii="Arial" w:hAnsi="Arial" w:cs="Arial"/>
          <w:color w:val="00B050"/>
          <w:sz w:val="22"/>
          <w:szCs w:val="22"/>
          <w:lang w:val="en-US"/>
        </w:rPr>
        <w:t xml:space="preserve"> </w:t>
      </w:r>
      <w:r w:rsidRPr="00BE612E" w:rsidR="00436D3C">
        <w:rPr>
          <w:rStyle w:val="normaltextrun"/>
          <w:rFonts w:ascii="Arial" w:hAnsi="Arial" w:cs="Arial"/>
          <w:sz w:val="22"/>
          <w:szCs w:val="22"/>
          <w:lang w:val="en-US"/>
        </w:rPr>
        <w:t xml:space="preserve">There is more information about managing coercion and safeguarding risks in the </w:t>
      </w:r>
      <w:r w:rsidRPr="00BE612E" w:rsidR="00F26A49">
        <w:rPr>
          <w:rStyle w:val="normaltextrun"/>
          <w:rFonts w:ascii="Arial" w:hAnsi="Arial" w:cs="Arial"/>
          <w:sz w:val="22"/>
          <w:szCs w:val="22"/>
          <w:lang w:val="en-US"/>
        </w:rPr>
        <w:t>section</w:t>
      </w:r>
      <w:r w:rsidRPr="00BE612E" w:rsidR="00436D3C">
        <w:rPr>
          <w:rStyle w:val="normaltextrun"/>
          <w:rFonts w:ascii="Arial" w:hAnsi="Arial" w:cs="Arial"/>
          <w:sz w:val="22"/>
          <w:szCs w:val="22"/>
          <w:lang w:val="en-US"/>
        </w:rPr>
        <w:t xml:space="preserve"> on </w:t>
      </w:r>
      <w:r w:rsidRPr="00BE612E" w:rsidR="00F26A49">
        <w:rPr>
          <w:rStyle w:val="normaltextrun"/>
          <w:rFonts w:ascii="Arial" w:hAnsi="Arial" w:cs="Arial"/>
          <w:sz w:val="22"/>
          <w:szCs w:val="22"/>
          <w:lang w:val="en-US"/>
        </w:rPr>
        <w:t>Clinical Safety</w:t>
      </w:r>
      <w:r w:rsidRPr="00BE612E" w:rsidR="00436D3C">
        <w:rPr>
          <w:rStyle w:val="normaltextrun"/>
          <w:rFonts w:ascii="Arial" w:hAnsi="Arial" w:cs="Arial"/>
          <w:sz w:val="22"/>
          <w:szCs w:val="22"/>
          <w:lang w:val="en-US"/>
        </w:rPr>
        <w:t xml:space="preserve"> and in the Toolkit</w:t>
      </w:r>
      <w:r w:rsidRPr="00BE612E" w:rsidR="00436D3C">
        <w:rPr>
          <w:rStyle w:val="eop"/>
          <w:rFonts w:ascii="Arial" w:hAnsi="Arial" w:cs="Arial"/>
          <w:sz w:val="22"/>
          <w:szCs w:val="22"/>
        </w:rPr>
        <w:t> </w:t>
      </w:r>
    </w:p>
    <w:p w:rsidRPr="00E32827" w:rsidR="006831CC" w:rsidP="13757D61" w:rsidRDefault="00BE612E" w14:paraId="744BC939" w14:textId="6C26627F">
      <w:pPr>
        <w:pStyle w:val="paragraph"/>
        <w:spacing w:before="120" w:beforeAutospacing="0" w:after="0" w:afterAutospacing="0" w:line="288" w:lineRule="auto"/>
        <w:jc w:val="both"/>
        <w:textAlignment w:val="baseline"/>
        <w:rPr>
          <w:rFonts w:ascii="Arial" w:hAnsi="Arial" w:cs="Arial"/>
          <w:color w:val="00B050"/>
          <w:sz w:val="22"/>
          <w:szCs w:val="22"/>
        </w:rPr>
      </w:pPr>
      <w:r w:rsidRPr="00873819">
        <w:rPr>
          <w:rFonts w:ascii="Webdings" w:hAnsi="Webdings" w:eastAsia="Calibri" w:cs="Arial"/>
          <w:sz w:val="22"/>
          <w:szCs w:val="22"/>
        </w:rPr>
        <w:t>i</w:t>
      </w:r>
      <w:r w:rsidRPr="00E32827">
        <w:rPr>
          <w:rFonts w:ascii="Arial" w:hAnsi="Arial" w:cs="Arial"/>
          <w:color w:val="00B050"/>
          <w:sz w:val="22"/>
          <w:szCs w:val="22"/>
        </w:rPr>
        <w:t xml:space="preserve"> </w:t>
      </w:r>
      <w:r w:rsidRPr="00BE612E" w:rsidR="00373C2C">
        <w:rPr>
          <w:rFonts w:ascii="Arial" w:hAnsi="Arial" w:cs="Arial"/>
          <w:sz w:val="22"/>
          <w:szCs w:val="22"/>
        </w:rPr>
        <w:t>“Where point (a) of</w:t>
      </w:r>
      <w:r w:rsidRPr="00BE612E" w:rsidR="00373C2C">
        <w:rPr>
          <w:rStyle w:val="apple-converted-space"/>
          <w:rFonts w:ascii="Arial" w:hAnsi="Arial" w:cs="Arial"/>
          <w:sz w:val="22"/>
          <w:szCs w:val="22"/>
        </w:rPr>
        <w:t> </w:t>
      </w:r>
      <w:hyperlink r:id="rId13">
        <w:r w:rsidRPr="00BE612E" w:rsidR="00373C2C">
          <w:rPr>
            <w:rStyle w:val="Hyperlink"/>
            <w:rFonts w:ascii="Arial" w:hAnsi="Arial" w:cs="Arial"/>
            <w:sz w:val="22"/>
            <w:szCs w:val="22"/>
          </w:rPr>
          <w:t>Article 6(1)</w:t>
        </w:r>
      </w:hyperlink>
      <w:r w:rsidRPr="00BE612E" w:rsidR="00373C2C">
        <w:rPr>
          <w:rStyle w:val="apple-converted-space"/>
          <w:rFonts w:ascii="Arial" w:hAnsi="Arial" w:cs="Arial"/>
          <w:sz w:val="22"/>
          <w:szCs w:val="22"/>
        </w:rPr>
        <w:t> </w:t>
      </w:r>
      <w:r w:rsidRPr="00BE612E" w:rsidR="00373C2C">
        <w:rPr>
          <w:rFonts w:ascii="Arial" w:hAnsi="Arial" w:cs="Arial"/>
          <w:sz w:val="22"/>
          <w:szCs w:val="22"/>
        </w:rPr>
        <w:t>applies, in relation to the offer of information society services directly to a child, the processing of the personal data of a child shall be lawful where the child is at least</w:t>
      </w:r>
      <w:r w:rsidRPr="00BE612E" w:rsidR="00373C2C">
        <w:rPr>
          <w:rStyle w:val="apple-converted-space"/>
          <w:rFonts w:ascii="Arial" w:hAnsi="Arial" w:cs="Arial"/>
          <w:sz w:val="22"/>
          <w:szCs w:val="22"/>
        </w:rPr>
        <w:t> </w:t>
      </w:r>
      <w:r w:rsidRPr="00BE612E" w:rsidR="00373C2C">
        <w:rPr>
          <w:rStyle w:val="has-inline-color"/>
          <w:rFonts w:ascii="Arial" w:hAnsi="Arial" w:cs="Arial"/>
          <w:sz w:val="22"/>
          <w:szCs w:val="22"/>
        </w:rPr>
        <w:t>13 years old</w:t>
      </w:r>
      <w:r w:rsidRPr="00BE612E" w:rsidR="00373C2C">
        <w:rPr>
          <w:rFonts w:ascii="Arial" w:hAnsi="Arial" w:cs="Arial"/>
          <w:sz w:val="22"/>
          <w:szCs w:val="22"/>
        </w:rPr>
        <w:t>. Where the child is below the age</w:t>
      </w:r>
      <w:r w:rsidRPr="00BE612E" w:rsidR="00373C2C">
        <w:rPr>
          <w:rStyle w:val="apple-converted-space"/>
          <w:rFonts w:ascii="Arial" w:hAnsi="Arial" w:cs="Arial"/>
          <w:sz w:val="22"/>
          <w:szCs w:val="22"/>
        </w:rPr>
        <w:t> </w:t>
      </w:r>
      <w:r w:rsidRPr="00BE612E" w:rsidR="00373C2C">
        <w:rPr>
          <w:rStyle w:val="has-inline-color"/>
          <w:rFonts w:ascii="Arial" w:hAnsi="Arial" w:cs="Arial"/>
          <w:sz w:val="22"/>
          <w:szCs w:val="22"/>
        </w:rPr>
        <w:t>of 13 years</w:t>
      </w:r>
      <w:r w:rsidRPr="00BE612E" w:rsidR="00373C2C">
        <w:rPr>
          <w:rFonts w:ascii="Arial" w:hAnsi="Arial" w:cs="Arial"/>
          <w:sz w:val="22"/>
          <w:szCs w:val="22"/>
        </w:rPr>
        <w:t>, such processing shall be lawful only if and to the extent that consent is given or authorised by the holder of parental responsibility over the child.” (</w:t>
      </w:r>
      <w:proofErr w:type="gramStart"/>
      <w:r w:rsidRPr="00BE612E" w:rsidR="00373C2C">
        <w:rPr>
          <w:rFonts w:ascii="Arial" w:hAnsi="Arial" w:cs="Arial"/>
          <w:sz w:val="22"/>
          <w:szCs w:val="22"/>
        </w:rPr>
        <w:t>article</w:t>
      </w:r>
      <w:proofErr w:type="gramEnd"/>
      <w:r w:rsidRPr="00BE612E" w:rsidR="00373C2C">
        <w:rPr>
          <w:rFonts w:ascii="Arial" w:hAnsi="Arial" w:cs="Arial"/>
          <w:sz w:val="22"/>
          <w:szCs w:val="22"/>
        </w:rPr>
        <w:t xml:space="preserve"> 8, UK General Data Protection Regulation)</w:t>
      </w:r>
      <w:r w:rsidRPr="00BE612E" w:rsidR="00C84113">
        <w:rPr>
          <w:rFonts w:ascii="Arial" w:hAnsi="Arial" w:cs="Arial"/>
          <w:sz w:val="22"/>
          <w:szCs w:val="22"/>
        </w:rPr>
        <w:t xml:space="preserve">, https://uk-gdpr.org/chapter-2-article-8/ </w:t>
      </w:r>
    </w:p>
    <w:p w:rsidRPr="00CC69CC" w:rsidR="00CC69CC" w:rsidP="00733804" w:rsidRDefault="00CC69CC" w14:paraId="675A67D6"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p>
    <w:p w:rsidRPr="00BE2F58" w:rsidR="00B055B4" w:rsidP="00BE2F58" w:rsidRDefault="00B055B4" w14:paraId="15F63AB7" w14:textId="23B5FE03">
      <w:pPr>
        <w:pStyle w:val="Defaul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Lato" w:hAnsi="Lato" w:cs="Arial"/>
          <w:b/>
          <w:bCs/>
          <w:sz w:val="32"/>
          <w:szCs w:val="32"/>
        </w:rPr>
      </w:pPr>
      <w:r w:rsidRPr="00BE2F58">
        <w:rPr>
          <w:rFonts w:ascii="Lato" w:hAnsi="Lato" w:cs="Arial"/>
          <w:b/>
          <w:bCs/>
          <w:sz w:val="32"/>
          <w:szCs w:val="32"/>
        </w:rPr>
        <w:t>Automatic record access</w:t>
      </w:r>
    </w:p>
    <w:p w:rsidRPr="005B77AF" w:rsidR="00B055B4" w:rsidP="00733804" w:rsidRDefault="00250623" w14:paraId="3E24CBE7" w14:textId="50F1E7D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5B77AF">
        <w:rPr>
          <w:rFonts w:ascii="Arial" w:hAnsi="Arial" w:cs="Arial"/>
        </w:rPr>
        <w:t xml:space="preserve">Patients aged 16 and over, who have an active account with a patient facing services app or web portal, such as the NHS App, will have automatic access to their full GP record from 2022. If they access the services through an NHS Login, identity verification is carried out online when they apply for the Login.  </w:t>
      </w:r>
    </w:p>
    <w:p w:rsidRPr="00324CFE" w:rsidR="00250623" w:rsidP="00733804" w:rsidRDefault="00324CFE" w14:paraId="5AAD087E" w14:textId="6B9C8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color w:val="auto"/>
        </w:rPr>
      </w:pPr>
      <w:r w:rsidRPr="00873819">
        <w:rPr>
          <w:rFonts w:ascii="Webdings" w:hAnsi="Webdings" w:eastAsia="Calibri" w:cs="Arial"/>
          <w:color w:val="auto"/>
        </w:rPr>
        <w:t>i</w:t>
      </w:r>
      <w:r w:rsidRPr="00324CFE">
        <w:rPr>
          <w:rFonts w:ascii="Arial" w:hAnsi="Arial" w:cs="Arial"/>
          <w:color w:val="auto"/>
        </w:rPr>
        <w:t xml:space="preserve"> </w:t>
      </w:r>
      <w:r w:rsidRPr="00324CFE" w:rsidR="6F981D00">
        <w:rPr>
          <w:rFonts w:ascii="Arial" w:hAnsi="Arial" w:cs="Arial"/>
          <w:color w:val="auto"/>
        </w:rPr>
        <w:t xml:space="preserve">There is a list of patient facing services apps that use the NHS Login here - </w:t>
      </w:r>
      <w:hyperlink w:history="1" r:id="rId14">
        <w:r w:rsidRPr="00324CFE" w:rsidR="0C883FFF">
          <w:rPr>
            <w:rStyle w:val="Hyperlink"/>
            <w:rFonts w:ascii="Arial" w:hAnsi="Arial" w:cs="Arial"/>
          </w:rPr>
          <w:t>https://www.nhs.uk/nhs-services/online-services/nhs-login/websites-and-apps-you-can-access-with-nhs-login</w:t>
        </w:r>
      </w:hyperlink>
      <w:r w:rsidRPr="00324CFE" w:rsidR="0C883FFF">
        <w:rPr>
          <w:rFonts w:ascii="Arial" w:hAnsi="Arial" w:cs="Arial"/>
          <w:color w:val="auto"/>
        </w:rPr>
        <w:t xml:space="preserve">/ </w:t>
      </w:r>
    </w:p>
    <w:p w:rsidRPr="00E32827" w:rsidR="00F14CBB" w:rsidP="00733804" w:rsidRDefault="00DA4A15" w14:paraId="1BFB80F8" w14:textId="10FA02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b/>
          <w:bCs/>
        </w:rPr>
      </w:pPr>
      <w:r w:rsidRPr="00324CFE">
        <w:rPr>
          <w:rFonts w:ascii="Arial" w:hAnsi="Arial" w:cs="Arial"/>
          <w:b/>
          <w:bCs/>
          <w:color w:val="auto"/>
        </w:rPr>
        <w:t xml:space="preserve">Practices remain responsible for ensuring that </w:t>
      </w:r>
      <w:r w:rsidRPr="00E32827">
        <w:rPr>
          <w:rFonts w:ascii="Arial" w:hAnsi="Arial" w:cs="Arial"/>
          <w:b/>
          <w:bCs/>
        </w:rPr>
        <w:t xml:space="preserve">patients do not come to harm from automatic online access.  </w:t>
      </w:r>
      <w:r w:rsidRPr="00E32827" w:rsidR="000C416B">
        <w:rPr>
          <w:rFonts w:ascii="Arial" w:hAnsi="Arial" w:cs="Arial"/>
          <w:b/>
          <w:bCs/>
        </w:rPr>
        <w:t xml:space="preserve">Before automatic record access becomes available it is very important that practices assess all their patients for evidence that they may be subject to coercion to share their record access </w:t>
      </w:r>
      <w:r w:rsidRPr="00E32827" w:rsidR="00CD699A">
        <w:rPr>
          <w:rFonts w:ascii="Arial" w:hAnsi="Arial" w:cs="Arial"/>
          <w:b/>
          <w:bCs/>
        </w:rPr>
        <w:t>or</w:t>
      </w:r>
      <w:r w:rsidRPr="00E32827" w:rsidR="00B52E41">
        <w:rPr>
          <w:rFonts w:ascii="Arial" w:hAnsi="Arial" w:cs="Arial"/>
          <w:b/>
          <w:bCs/>
        </w:rPr>
        <w:t xml:space="preserve"> at risk of harm.  </w:t>
      </w:r>
    </w:p>
    <w:p w:rsidRPr="00AF4441" w:rsidR="000C416B" w:rsidP="00733804" w:rsidRDefault="02D7C3AF" w14:paraId="6DDB6E15" w14:textId="582A4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25055E6A">
        <w:rPr>
          <w:rFonts w:ascii="Arial" w:hAnsi="Arial" w:cs="Arial"/>
        </w:rPr>
        <w:t>It may then be appropriate</w:t>
      </w:r>
      <w:r w:rsidRPr="25055E6A" w:rsidR="07F763AB">
        <w:rPr>
          <w:rFonts w:ascii="Arial" w:hAnsi="Arial" w:cs="Arial"/>
        </w:rPr>
        <w:t xml:space="preserve"> for these individuals </w:t>
      </w:r>
      <w:r w:rsidRPr="25055E6A" w:rsidR="7EDABE6A">
        <w:rPr>
          <w:rFonts w:ascii="Arial" w:hAnsi="Arial" w:cs="Arial"/>
        </w:rPr>
        <w:t xml:space="preserve">where there is a suspicion that serious harm may result from online record access (as defined by GDPR) to prevent future </w:t>
      </w:r>
      <w:r w:rsidRPr="25055E6A" w:rsidR="2C661EFE">
        <w:rPr>
          <w:rFonts w:ascii="Arial" w:hAnsi="Arial" w:cs="Arial"/>
        </w:rPr>
        <w:t xml:space="preserve">automatic record access </w:t>
      </w:r>
      <w:r w:rsidRPr="25055E6A" w:rsidR="07F763AB">
        <w:rPr>
          <w:rFonts w:ascii="Arial" w:hAnsi="Arial" w:cs="Arial"/>
        </w:rPr>
        <w:t>adding</w:t>
      </w:r>
      <w:r w:rsidRPr="25055E6A" w:rsidR="2C661EFE">
        <w:rPr>
          <w:rFonts w:ascii="Arial" w:hAnsi="Arial" w:cs="Arial"/>
        </w:rPr>
        <w:t xml:space="preserve"> </w:t>
      </w:r>
      <w:r w:rsidRPr="25055E6A" w:rsidR="07F763AB">
        <w:rPr>
          <w:rFonts w:ascii="Arial" w:hAnsi="Arial" w:cs="Arial"/>
        </w:rPr>
        <w:t xml:space="preserve">a </w:t>
      </w:r>
      <w:r w:rsidRPr="25055E6A" w:rsidR="2C661EFE">
        <w:rPr>
          <w:rFonts w:ascii="Arial" w:hAnsi="Arial" w:cs="Arial"/>
        </w:rPr>
        <w:t>specific SNOMED term</w:t>
      </w:r>
      <w:r w:rsidRPr="25055E6A" w:rsidR="07F763AB">
        <w:rPr>
          <w:rFonts w:ascii="Arial" w:hAnsi="Arial" w:cs="Arial"/>
        </w:rPr>
        <w:t xml:space="preserve"> to their record</w:t>
      </w:r>
      <w:r w:rsidRPr="25055E6A" w:rsidR="2C661EFE">
        <w:rPr>
          <w:rFonts w:ascii="Arial" w:hAnsi="Arial" w:cs="Arial"/>
        </w:rPr>
        <w:t>.</w:t>
      </w:r>
      <w:r w:rsidRPr="25055E6A" w:rsidR="7EDABE6A">
        <w:rPr>
          <w:rFonts w:ascii="Arial" w:hAnsi="Arial" w:cs="Arial"/>
        </w:rPr>
        <w:t xml:space="preserve">  After discussion with the </w:t>
      </w:r>
      <w:r w:rsidRPr="25055E6A" w:rsidR="07F763AB">
        <w:rPr>
          <w:rFonts w:ascii="Arial" w:hAnsi="Arial" w:cs="Arial"/>
        </w:rPr>
        <w:t>patient,</w:t>
      </w:r>
      <w:r w:rsidRPr="25055E6A" w:rsidR="7EDABE6A">
        <w:rPr>
          <w:rFonts w:ascii="Arial" w:hAnsi="Arial" w:cs="Arial"/>
        </w:rPr>
        <w:t xml:space="preserve"> </w:t>
      </w:r>
      <w:r w:rsidRPr="25055E6A" w:rsidR="07F763AB">
        <w:rPr>
          <w:rFonts w:ascii="Arial" w:hAnsi="Arial" w:cs="Arial"/>
        </w:rPr>
        <w:t>i</w:t>
      </w:r>
      <w:r w:rsidRPr="25055E6A" w:rsidR="7EDABE6A">
        <w:rPr>
          <w:rFonts w:ascii="Arial" w:hAnsi="Arial" w:cs="Arial"/>
        </w:rPr>
        <w:t>t may be possible to switch on record access in the usual way using the practice clinical system GP Online Services controls</w:t>
      </w:r>
      <w:r w:rsidR="00CD699A">
        <w:rPr>
          <w:rFonts w:ascii="Arial" w:hAnsi="Arial" w:cs="Arial"/>
        </w:rPr>
        <w:t xml:space="preserve"> or override the first term by adding the second term below to the patient’s record.</w:t>
      </w:r>
      <w:r w:rsidRPr="25055E6A" w:rsidR="7EDABE6A">
        <w:rPr>
          <w:rFonts w:ascii="Arial" w:hAnsi="Arial" w:cs="Arial"/>
        </w:rPr>
        <w:t xml:space="preserve">  </w:t>
      </w:r>
    </w:p>
    <w:p w:rsidRPr="00AF4441" w:rsidR="000C416B" w:rsidP="000C416B" w:rsidRDefault="02D7C3AF" w14:paraId="7578DD3A" w14:textId="54868338">
      <w:p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rPr>
          <w:rFonts w:ascii="Arial" w:hAnsi="Arial" w:eastAsia="Times New Roman" w:cs="Arial"/>
          <w:color w:val="000000"/>
          <w:sz w:val="22"/>
          <w:szCs w:val="22"/>
          <w:bdr w:val="none" w:color="auto" w:sz="0" w:space="0"/>
          <w:lang w:val="en-GB" w:eastAsia="en-GB"/>
        </w:rPr>
      </w:pPr>
      <w:r w:rsidRPr="00AF4441">
        <w:rPr>
          <w:rFonts w:ascii="Arial" w:hAnsi="Arial" w:eastAsia="Times New Roman" w:cs="Arial"/>
          <w:color w:val="000000"/>
          <w:sz w:val="22"/>
          <w:szCs w:val="22"/>
          <w:bdr w:val="none" w:color="auto" w:sz="0" w:space="0"/>
          <w:lang w:val="en-GB" w:eastAsia="en-GB"/>
        </w:rPr>
        <w:t xml:space="preserve">The </w:t>
      </w:r>
      <w:r w:rsidR="07F763AB">
        <w:rPr>
          <w:rFonts w:ascii="Arial" w:hAnsi="Arial" w:eastAsia="Times New Roman" w:cs="Arial"/>
          <w:color w:val="000000"/>
          <w:sz w:val="22"/>
          <w:szCs w:val="22"/>
          <w:bdr w:val="none" w:color="auto" w:sz="0" w:space="0"/>
          <w:lang w:val="en-GB" w:eastAsia="en-GB"/>
        </w:rPr>
        <w:t>SNOMED terms that affect automatic record access</w:t>
      </w:r>
      <w:r w:rsidRPr="00AF4441">
        <w:rPr>
          <w:rFonts w:ascii="Arial" w:hAnsi="Arial" w:eastAsia="Times New Roman" w:cs="Arial"/>
          <w:color w:val="000000"/>
          <w:sz w:val="22"/>
          <w:szCs w:val="22"/>
          <w:bdr w:val="none" w:color="auto" w:sz="0" w:space="0"/>
          <w:lang w:val="en-GB" w:eastAsia="en-GB"/>
        </w:rPr>
        <w:t xml:space="preserve"> only</w:t>
      </w:r>
      <w:r w:rsidRPr="00AF4441" w:rsidR="7EDABE6A">
        <w:rPr>
          <w:rFonts w:ascii="Arial" w:hAnsi="Arial" w:eastAsia="Times New Roman" w:cs="Arial"/>
          <w:color w:val="000000"/>
          <w:sz w:val="22"/>
          <w:szCs w:val="22"/>
          <w:bdr w:val="none" w:color="auto" w:sz="0" w:space="0"/>
          <w:lang w:val="en-GB" w:eastAsia="en-GB"/>
        </w:rPr>
        <w:t xml:space="preserve"> </w:t>
      </w:r>
      <w:r w:rsidRPr="00AF4441">
        <w:rPr>
          <w:rFonts w:ascii="Arial" w:hAnsi="Arial" w:eastAsia="Times New Roman" w:cs="Arial"/>
          <w:color w:val="000000"/>
          <w:sz w:val="22"/>
          <w:szCs w:val="22"/>
          <w:bdr w:val="none" w:color="auto" w:sz="0" w:space="0"/>
          <w:lang w:val="en-GB" w:eastAsia="en-GB"/>
        </w:rPr>
        <w:t xml:space="preserve">operate if </w:t>
      </w:r>
      <w:r w:rsidRPr="00AF4441" w:rsidR="7EDABE6A">
        <w:rPr>
          <w:rFonts w:ascii="Arial" w:hAnsi="Arial" w:eastAsia="Times New Roman" w:cs="Arial"/>
          <w:color w:val="000000"/>
          <w:sz w:val="22"/>
          <w:szCs w:val="22"/>
          <w:bdr w:val="none" w:color="auto" w:sz="0" w:space="0"/>
          <w:lang w:val="en-GB" w:eastAsia="en-GB"/>
        </w:rPr>
        <w:t>the patient</w:t>
      </w:r>
      <w:r w:rsidR="07F763AB">
        <w:rPr>
          <w:rFonts w:ascii="Arial" w:hAnsi="Arial" w:eastAsia="Times New Roman" w:cs="Arial"/>
          <w:color w:val="000000"/>
          <w:sz w:val="22"/>
          <w:szCs w:val="22"/>
          <w:bdr w:val="none" w:color="auto" w:sz="0" w:space="0"/>
          <w:lang w:val="en-GB" w:eastAsia="en-GB"/>
        </w:rPr>
        <w:t xml:space="preserve"> has automatic access to their GP recor</w:t>
      </w:r>
      <w:r w:rsidR="48FB537A">
        <w:rPr>
          <w:rFonts w:ascii="Arial" w:hAnsi="Arial" w:eastAsia="Times New Roman" w:cs="Arial"/>
          <w:color w:val="000000"/>
          <w:sz w:val="22"/>
          <w:szCs w:val="22"/>
          <w:bdr w:val="none" w:color="auto" w:sz="0" w:space="0"/>
          <w:lang w:val="en-GB" w:eastAsia="en-GB"/>
        </w:rPr>
        <w:t>d</w:t>
      </w:r>
      <w:r w:rsidRPr="00AF4441" w:rsidR="7EDABE6A">
        <w:rPr>
          <w:rFonts w:ascii="Arial" w:hAnsi="Arial" w:eastAsia="Times New Roman" w:cs="Arial"/>
          <w:color w:val="000000"/>
          <w:sz w:val="22"/>
          <w:szCs w:val="22"/>
          <w:bdr w:val="none" w:color="auto" w:sz="0" w:space="0"/>
          <w:lang w:val="en-GB" w:eastAsia="en-GB"/>
        </w:rPr>
        <w:t xml:space="preserve">. They </w:t>
      </w:r>
      <w:r w:rsidRPr="00AF4441" w:rsidR="2C661EFE">
        <w:rPr>
          <w:rFonts w:ascii="Arial" w:hAnsi="Arial" w:eastAsia="Times New Roman" w:cs="Arial"/>
          <w:color w:val="000000"/>
          <w:sz w:val="22"/>
          <w:szCs w:val="22"/>
          <w:bdr w:val="none" w:color="auto" w:sz="0" w:space="0"/>
          <w:lang w:val="en-GB" w:eastAsia="en-GB"/>
        </w:rPr>
        <w:t>are: </w:t>
      </w:r>
    </w:p>
    <w:p w:rsidRPr="009B568C" w:rsidR="000C416B" w:rsidP="000C416B" w:rsidRDefault="000C416B" w14:paraId="38CC00F1" w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textAlignment w:val="center"/>
        <w:rPr>
          <w:rFonts w:ascii="Calibri" w:hAnsi="Calibri" w:eastAsia="Times New Roman" w:cs="Calibri"/>
          <w:color w:val="000000"/>
          <w:sz w:val="22"/>
          <w:szCs w:val="22"/>
          <w:bdr w:val="none" w:color="auto" w:sz="0" w:space="0"/>
          <w:lang w:val="en-GB" w:eastAsia="en-GB"/>
        </w:rPr>
      </w:pPr>
      <w:r w:rsidRPr="009B568C">
        <w:rPr>
          <w:rFonts w:ascii="Arial" w:hAnsi="Arial" w:eastAsia="Times New Roman" w:cs="Arial"/>
          <w:b/>
          <w:bCs/>
          <w:color w:val="000000"/>
          <w:sz w:val="22"/>
          <w:szCs w:val="22"/>
          <w:bdr w:val="none" w:color="auto" w:sz="0" w:space="0"/>
          <w:lang w:val="en-GB" w:eastAsia="en-GB"/>
        </w:rPr>
        <w:t xml:space="preserve">1364731000000104 Enhanced </w:t>
      </w:r>
      <w:proofErr w:type="gramStart"/>
      <w:r w:rsidRPr="009B568C">
        <w:rPr>
          <w:rFonts w:ascii="Arial" w:hAnsi="Arial" w:eastAsia="Times New Roman" w:cs="Arial"/>
          <w:b/>
          <w:bCs/>
          <w:color w:val="000000"/>
          <w:sz w:val="22"/>
          <w:szCs w:val="22"/>
          <w:bdr w:val="none" w:color="auto" w:sz="0" w:space="0"/>
          <w:lang w:val="en-GB" w:eastAsia="en-GB"/>
        </w:rPr>
        <w:t>review</w:t>
      </w:r>
      <w:proofErr w:type="gramEnd"/>
      <w:r w:rsidRPr="009B568C">
        <w:rPr>
          <w:rFonts w:ascii="Arial" w:hAnsi="Arial" w:eastAsia="Times New Roman" w:cs="Arial"/>
          <w:b/>
          <w:bCs/>
          <w:color w:val="000000"/>
          <w:sz w:val="22"/>
          <w:szCs w:val="22"/>
          <w:bdr w:val="none" w:color="auto" w:sz="0" w:space="0"/>
          <w:lang w:val="en-GB" w:eastAsia="en-GB"/>
        </w:rPr>
        <w:t xml:space="preserve"> indicated before granting access to own health record </w:t>
      </w:r>
      <w:r w:rsidRPr="009B568C">
        <w:rPr>
          <w:rFonts w:ascii="Arial" w:hAnsi="Arial" w:eastAsia="Times New Roman" w:cs="Arial"/>
          <w:color w:val="000000"/>
          <w:sz w:val="22"/>
          <w:szCs w:val="22"/>
          <w:bdr w:val="none" w:color="auto" w:sz="0" w:space="0"/>
          <w:lang w:val="en-GB" w:eastAsia="en-GB"/>
        </w:rPr>
        <w:t> </w:t>
      </w:r>
    </w:p>
    <w:p w:rsidRPr="000C416B" w:rsidR="000C416B" w:rsidP="000C416B" w:rsidRDefault="000C416B" w14:paraId="74768C1A" w14:textId="36F9A704">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textAlignment w:val="center"/>
        <w:rPr>
          <w:rFonts w:ascii="Calibri" w:hAnsi="Calibri" w:eastAsia="Times New Roman" w:cs="Calibri"/>
          <w:color w:val="000000"/>
          <w:sz w:val="22"/>
          <w:szCs w:val="22"/>
          <w:bdr w:val="none" w:color="auto" w:sz="0" w:space="0"/>
          <w:lang w:val="en-GB" w:eastAsia="en-GB"/>
        </w:rPr>
      </w:pPr>
      <w:r w:rsidRPr="009B568C">
        <w:rPr>
          <w:rFonts w:ascii="Arial" w:hAnsi="Arial" w:eastAsia="Times New Roman" w:cs="Arial"/>
          <w:b/>
          <w:bCs/>
          <w:color w:val="000000"/>
          <w:sz w:val="22"/>
          <w:szCs w:val="22"/>
          <w:bdr w:val="none" w:color="auto" w:sz="0" w:space="0"/>
          <w:lang w:val="en-GB" w:eastAsia="en-GB"/>
        </w:rPr>
        <w:t xml:space="preserve">1364731000000106 Enhanced </w:t>
      </w:r>
      <w:proofErr w:type="gramStart"/>
      <w:r w:rsidRPr="009B568C">
        <w:rPr>
          <w:rFonts w:ascii="Arial" w:hAnsi="Arial" w:eastAsia="Times New Roman" w:cs="Arial"/>
          <w:b/>
          <w:bCs/>
          <w:color w:val="000000"/>
          <w:sz w:val="22"/>
          <w:szCs w:val="22"/>
          <w:bdr w:val="none" w:color="auto" w:sz="0" w:space="0"/>
          <w:lang w:val="en-GB" w:eastAsia="en-GB"/>
        </w:rPr>
        <w:t>review</w:t>
      </w:r>
      <w:proofErr w:type="gramEnd"/>
      <w:r w:rsidRPr="009B568C">
        <w:rPr>
          <w:rFonts w:ascii="Arial" w:hAnsi="Arial" w:eastAsia="Times New Roman" w:cs="Arial"/>
          <w:b/>
          <w:bCs/>
          <w:color w:val="000000"/>
          <w:sz w:val="22"/>
          <w:szCs w:val="22"/>
          <w:bdr w:val="none" w:color="auto" w:sz="0" w:space="0"/>
          <w:lang w:val="en-GB" w:eastAsia="en-GB"/>
        </w:rPr>
        <w:t xml:space="preserve"> not indicated before granting access to own health record</w:t>
      </w:r>
      <w:r w:rsidRPr="009B568C">
        <w:rPr>
          <w:rFonts w:ascii="Arial" w:hAnsi="Arial" w:eastAsia="Times New Roman" w:cs="Arial"/>
          <w:color w:val="000000"/>
          <w:sz w:val="22"/>
          <w:szCs w:val="22"/>
          <w:bdr w:val="none" w:color="auto" w:sz="0" w:space="0"/>
          <w:lang w:val="en-GB" w:eastAsia="en-GB"/>
        </w:rPr>
        <w:t> </w:t>
      </w:r>
    </w:p>
    <w:p w:rsidR="00A846E4" w:rsidP="000C416B" w:rsidRDefault="000C416B" w14:paraId="3C855225" w14:textId="61AD28D6">
      <w:p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textAlignment w:val="center"/>
        <w:rPr>
          <w:rFonts w:ascii="Arial" w:hAnsi="Arial" w:cs="Arial"/>
          <w:color w:val="000000"/>
          <w:sz w:val="22"/>
          <w:szCs w:val="22"/>
        </w:rPr>
      </w:pPr>
      <w:r w:rsidRPr="009B568C">
        <w:rPr>
          <w:rFonts w:ascii="Arial" w:hAnsi="Arial" w:eastAsia="Times New Roman" w:cs="Arial"/>
          <w:b/>
          <w:bCs/>
          <w:color w:val="000000"/>
          <w:sz w:val="22"/>
          <w:szCs w:val="22"/>
          <w:bdr w:val="none" w:color="auto" w:sz="0" w:space="0"/>
          <w:lang w:val="en-GB" w:eastAsia="en-GB"/>
        </w:rPr>
        <w:lastRenderedPageBreak/>
        <w:t xml:space="preserve">1364731000000104 Enhanced </w:t>
      </w:r>
      <w:proofErr w:type="gramStart"/>
      <w:r w:rsidRPr="009B568C">
        <w:rPr>
          <w:rFonts w:ascii="Arial" w:hAnsi="Arial" w:eastAsia="Times New Roman" w:cs="Arial"/>
          <w:b/>
          <w:bCs/>
          <w:color w:val="000000"/>
          <w:sz w:val="22"/>
          <w:szCs w:val="22"/>
          <w:bdr w:val="none" w:color="auto" w:sz="0" w:space="0"/>
          <w:lang w:val="en-GB" w:eastAsia="en-GB"/>
        </w:rPr>
        <w:t>review</w:t>
      </w:r>
      <w:proofErr w:type="gramEnd"/>
      <w:r w:rsidRPr="009B568C">
        <w:rPr>
          <w:rFonts w:ascii="Arial" w:hAnsi="Arial" w:eastAsia="Times New Roman" w:cs="Arial"/>
          <w:b/>
          <w:bCs/>
          <w:color w:val="000000"/>
          <w:sz w:val="22"/>
          <w:szCs w:val="22"/>
          <w:bdr w:val="none" w:color="auto" w:sz="0" w:space="0"/>
          <w:lang w:val="en-GB" w:eastAsia="en-GB"/>
        </w:rPr>
        <w:t xml:space="preserve"> indicated before granting access to own health record</w:t>
      </w:r>
      <w:r w:rsidRPr="006A3CA1">
        <w:rPr>
          <w:rFonts w:ascii="Arial" w:hAnsi="Arial" w:eastAsia="Times New Roman" w:cs="Arial"/>
          <w:color w:val="000000"/>
          <w:sz w:val="22"/>
          <w:szCs w:val="22"/>
          <w:bdr w:val="none" w:color="auto" w:sz="0" w:space="0"/>
          <w:lang w:val="en-GB" w:eastAsia="en-GB"/>
        </w:rPr>
        <w:t xml:space="preserve"> </w:t>
      </w:r>
      <w:r w:rsidRPr="00176238">
        <w:rPr>
          <w:rFonts w:ascii="Arial" w:hAnsi="Arial" w:eastAsia="Times New Roman" w:cs="Arial"/>
          <w:color w:val="000000"/>
          <w:sz w:val="22"/>
          <w:szCs w:val="22"/>
          <w:bdr w:val="none" w:color="auto" w:sz="0" w:space="0"/>
          <w:lang w:val="en-GB" w:eastAsia="en-GB"/>
        </w:rPr>
        <w:t>blocks</w:t>
      </w:r>
      <w:r w:rsidRPr="006A3CA1">
        <w:rPr>
          <w:rFonts w:ascii="Arial" w:hAnsi="Arial" w:eastAsia="Times New Roman" w:cs="Arial"/>
          <w:color w:val="000000"/>
          <w:sz w:val="22"/>
          <w:szCs w:val="22"/>
          <w:bdr w:val="none" w:color="auto" w:sz="0" w:space="0"/>
          <w:lang w:val="en-GB" w:eastAsia="en-GB"/>
        </w:rPr>
        <w:t xml:space="preserve"> </w:t>
      </w:r>
      <w:r>
        <w:rPr>
          <w:rFonts w:ascii="Arial" w:hAnsi="Arial" w:eastAsia="Times New Roman" w:cs="Arial"/>
          <w:color w:val="000000"/>
          <w:sz w:val="22"/>
          <w:szCs w:val="22"/>
          <w:bdr w:val="none" w:color="auto" w:sz="0" w:space="0"/>
          <w:lang w:val="en-GB" w:eastAsia="en-GB"/>
        </w:rPr>
        <w:t xml:space="preserve">future implementation of </w:t>
      </w:r>
      <w:r w:rsidRPr="006A3CA1">
        <w:rPr>
          <w:rFonts w:ascii="Arial" w:hAnsi="Arial" w:eastAsia="Times New Roman" w:cs="Arial"/>
          <w:color w:val="000000"/>
          <w:sz w:val="22"/>
          <w:szCs w:val="22"/>
          <w:bdr w:val="none" w:color="auto" w:sz="0" w:space="0"/>
          <w:lang w:val="en-GB" w:eastAsia="en-GB"/>
        </w:rPr>
        <w:t xml:space="preserve">automatic </w:t>
      </w:r>
      <w:r>
        <w:rPr>
          <w:rFonts w:ascii="Arial" w:hAnsi="Arial" w:eastAsia="Times New Roman" w:cs="Arial"/>
          <w:color w:val="000000"/>
          <w:sz w:val="22"/>
          <w:szCs w:val="22"/>
          <w:bdr w:val="none" w:color="auto" w:sz="0" w:space="0"/>
          <w:lang w:val="en-GB" w:eastAsia="en-GB"/>
        </w:rPr>
        <w:t xml:space="preserve">record </w:t>
      </w:r>
      <w:r w:rsidRPr="006A3CA1">
        <w:rPr>
          <w:rFonts w:ascii="Arial" w:hAnsi="Arial" w:eastAsia="Times New Roman" w:cs="Arial"/>
          <w:color w:val="000000"/>
          <w:sz w:val="22"/>
          <w:szCs w:val="22"/>
          <w:bdr w:val="none" w:color="auto" w:sz="0" w:space="0"/>
          <w:lang w:val="en-GB" w:eastAsia="en-GB"/>
        </w:rPr>
        <w:t>access for the individual patient</w:t>
      </w:r>
      <w:r>
        <w:rPr>
          <w:rFonts w:ascii="Arial" w:hAnsi="Arial" w:eastAsia="Times New Roman" w:cs="Arial"/>
          <w:color w:val="000000"/>
          <w:sz w:val="22"/>
          <w:szCs w:val="22"/>
          <w:bdr w:val="none" w:color="auto" w:sz="0" w:space="0"/>
          <w:lang w:val="en-GB" w:eastAsia="en-GB"/>
        </w:rPr>
        <w:t xml:space="preserve"> </w:t>
      </w:r>
      <w:r>
        <w:rPr>
          <w:rFonts w:ascii="Arial" w:hAnsi="Arial" w:cs="Arial"/>
          <w:color w:val="000000"/>
          <w:sz w:val="22"/>
          <w:szCs w:val="22"/>
        </w:rPr>
        <w:t xml:space="preserve">if it is entered into the patient’s record </w:t>
      </w:r>
      <w:r w:rsidRPr="00CF19C7">
        <w:rPr>
          <w:rFonts w:ascii="Arial" w:hAnsi="Arial" w:cs="Arial"/>
          <w:b/>
          <w:bCs/>
          <w:color w:val="000000"/>
          <w:sz w:val="22"/>
          <w:szCs w:val="22"/>
        </w:rPr>
        <w:t>before</w:t>
      </w:r>
      <w:r>
        <w:rPr>
          <w:rFonts w:ascii="Arial" w:hAnsi="Arial" w:cs="Arial"/>
          <w:color w:val="000000"/>
          <w:sz w:val="22"/>
          <w:szCs w:val="22"/>
        </w:rPr>
        <w:t xml:space="preserve"> three critical events when automatic record access would be switched on for the patient.</w:t>
      </w:r>
    </w:p>
    <w:p w:rsidRPr="00CF19C7" w:rsidR="000C416B" w:rsidP="00A846E4" w:rsidRDefault="2C661EFE" w14:paraId="5A38ABC3" w14:textId="7202B929">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before="40"/>
        <w:ind w:left="709" w:hanging="357"/>
        <w:textAlignment w:val="center"/>
        <w:rPr>
          <w:rFonts w:ascii="Arial" w:hAnsi="Arial" w:cs="Arial"/>
          <w:color w:val="000000"/>
          <w:sz w:val="22"/>
          <w:szCs w:val="22"/>
        </w:rPr>
      </w:pPr>
      <w:r w:rsidRPr="13757D61">
        <w:rPr>
          <w:rFonts w:ascii="Arial" w:hAnsi="Arial" w:cs="Arial"/>
          <w:color w:val="000000" w:themeColor="text1"/>
          <w:sz w:val="22"/>
          <w:szCs w:val="22"/>
        </w:rPr>
        <w:t xml:space="preserve">On the launch date of automatic record access </w:t>
      </w:r>
    </w:p>
    <w:p w:rsidRPr="00CF19C7" w:rsidR="000C416B" w:rsidP="00A846E4" w:rsidRDefault="000C416B" w14:paraId="4B22325B" w14:textId="77777777">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before="40"/>
        <w:ind w:left="709" w:hanging="357"/>
        <w:contextualSpacing w:val="0"/>
        <w:textAlignment w:val="center"/>
        <w:rPr>
          <w:rFonts w:ascii="Arial" w:hAnsi="Arial" w:cs="Arial"/>
          <w:color w:val="000000"/>
          <w:sz w:val="22"/>
          <w:szCs w:val="22"/>
        </w:rPr>
      </w:pPr>
      <w:r w:rsidRPr="00CF19C7">
        <w:rPr>
          <w:rFonts w:ascii="Arial" w:hAnsi="Arial" w:cs="Arial"/>
          <w:color w:val="000000"/>
          <w:sz w:val="22"/>
          <w:szCs w:val="22"/>
        </w:rPr>
        <w:t>When the patient reaches their 16</w:t>
      </w:r>
      <w:r w:rsidRPr="00CF19C7">
        <w:rPr>
          <w:rFonts w:ascii="Arial" w:hAnsi="Arial" w:cs="Arial"/>
          <w:color w:val="000000"/>
          <w:sz w:val="22"/>
          <w:szCs w:val="22"/>
          <w:vertAlign w:val="superscript"/>
        </w:rPr>
        <w:t>th</w:t>
      </w:r>
      <w:r w:rsidRPr="00CF19C7">
        <w:rPr>
          <w:rFonts w:ascii="Arial" w:hAnsi="Arial" w:cs="Arial"/>
          <w:color w:val="000000"/>
          <w:sz w:val="22"/>
          <w:szCs w:val="22"/>
        </w:rPr>
        <w:t xml:space="preserve"> birthday.  </w:t>
      </w:r>
    </w:p>
    <w:p w:rsidRPr="00CF19C7" w:rsidR="000C416B" w:rsidP="00A846E4" w:rsidRDefault="000C416B" w14:paraId="79F2A7B8" w14:textId="77777777">
      <w:pPr>
        <w:pStyle w:val="ListParagraph"/>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before="40" w:line="288" w:lineRule="auto"/>
        <w:ind w:left="709" w:hanging="357"/>
        <w:rPr>
          <w:rFonts w:ascii="Arial" w:hAnsi="Arial" w:eastAsia="Times New Roman" w:cs="Arial"/>
          <w:color w:val="000000"/>
          <w:sz w:val="22"/>
          <w:szCs w:val="22"/>
          <w:bdr w:val="none" w:color="auto" w:sz="0" w:space="0"/>
          <w:lang w:val="en-GB" w:eastAsia="en-GB"/>
        </w:rPr>
      </w:pPr>
      <w:r w:rsidRPr="009A6BA3">
        <w:rPr>
          <w:rFonts w:ascii="Arial" w:hAnsi="Arial" w:eastAsia="Times New Roman" w:cs="Arial"/>
          <w:color w:val="000000"/>
          <w:sz w:val="22"/>
          <w:szCs w:val="22"/>
          <w:bdr w:val="none" w:color="auto" w:sz="0" w:space="0"/>
          <w:lang w:val="en-GB" w:eastAsia="en-GB"/>
        </w:rPr>
        <w:t xml:space="preserve">When a patient with no account for GP Online Services set up an NHS login or applies to the practice for a PFS (patient facing services) account. </w:t>
      </w:r>
    </w:p>
    <w:p w:rsidR="00DA4A15" w:rsidP="00176238" w:rsidRDefault="000C416B" w14:paraId="544C998D" w14:textId="05A11D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5C56E11B">
        <w:rPr>
          <w:rFonts w:ascii="Arial" w:hAnsi="Arial" w:cs="Arial"/>
        </w:rPr>
        <w:t>A</w:t>
      </w:r>
      <w:r w:rsidRPr="5C56E11B" w:rsidR="00174402">
        <w:rPr>
          <w:rFonts w:ascii="Arial" w:hAnsi="Arial" w:cs="Arial"/>
        </w:rPr>
        <w:t xml:space="preserve">utomatic record access is only available to the records from a patient’s current practice. If they change practice their access to their previous GP practice records is blocked and they will receive automatic record access at the new practice if they use an NHS Login.  </w:t>
      </w:r>
    </w:p>
    <w:p w:rsidR="008064AD" w:rsidP="00176238" w:rsidRDefault="00DA4A15" w14:paraId="1E3C85F8" w14:textId="63BA044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5C56E11B">
        <w:rPr>
          <w:rFonts w:ascii="Arial" w:hAnsi="Arial" w:cs="Arial"/>
        </w:rPr>
        <w:t xml:space="preserve">It also means that practices must be mindful all the time of whether new information that they are adding or filing in patients’ records has the potential to cause harm, especially serious harm. All such information should be hidden from </w:t>
      </w:r>
      <w:r w:rsidRPr="5C56E11B" w:rsidR="008064AD">
        <w:rPr>
          <w:rFonts w:ascii="Arial" w:hAnsi="Arial" w:cs="Arial"/>
        </w:rPr>
        <w:t xml:space="preserve">online </w:t>
      </w:r>
      <w:r w:rsidRPr="5C56E11B">
        <w:rPr>
          <w:rFonts w:ascii="Arial" w:hAnsi="Arial" w:cs="Arial"/>
        </w:rPr>
        <w:t>view by default before it becomes visible to the patient.</w:t>
      </w:r>
    </w:p>
    <w:p w:rsidRPr="00DA4A15" w:rsidR="00B055B4" w:rsidP="00176238" w:rsidRDefault="00174402" w14:paraId="346A0B27" w14:textId="220EB71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5C56E11B">
        <w:rPr>
          <w:rFonts w:ascii="Arial" w:hAnsi="Arial" w:cs="Arial"/>
        </w:rPr>
        <w:t>To have access to the record from their old practice, they will have to apply to their new practice</w:t>
      </w:r>
      <w:r w:rsidRPr="5C56E11B" w:rsidR="003947E8">
        <w:rPr>
          <w:rFonts w:ascii="Arial" w:hAnsi="Arial" w:cs="Arial"/>
        </w:rPr>
        <w:t xml:space="preserve"> in the usual way.  They will also have to apply to the practice for login credentials if they do not want to use an NHS Login to access their GP Online Services.</w:t>
      </w:r>
    </w:p>
    <w:p w:rsidR="008064AD" w:rsidP="00176238" w:rsidRDefault="00174402" w14:paraId="710687EE" w14:textId="50C8E7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6EBA0D59">
        <w:rPr>
          <w:rFonts w:ascii="Arial" w:hAnsi="Arial" w:cs="Arial"/>
        </w:rPr>
        <w:t>Practices can switch off existing automatic record access using the GP Online Services controls in the practice clinical system</w:t>
      </w:r>
      <w:r w:rsidRPr="6EBA0D59" w:rsidR="00DA4A15">
        <w:rPr>
          <w:rFonts w:ascii="Arial" w:hAnsi="Arial" w:cs="Arial"/>
        </w:rPr>
        <w:t xml:space="preserve"> because of fears about coercion and patient safety</w:t>
      </w:r>
      <w:r w:rsidRPr="6EBA0D59">
        <w:rPr>
          <w:rFonts w:ascii="Arial" w:hAnsi="Arial" w:cs="Arial"/>
        </w:rPr>
        <w:t>.  For patients who do not currently have automatic record access, it is possible to prevent future automatic record access being switched on by adding a specific SNOMED CT term</w:t>
      </w:r>
      <w:r w:rsidRPr="6EBA0D59" w:rsidR="00DA4A15">
        <w:rPr>
          <w:rFonts w:ascii="Arial" w:hAnsi="Arial" w:cs="Arial"/>
        </w:rPr>
        <w:t>.</w:t>
      </w:r>
      <w:r w:rsidRPr="6EBA0D59" w:rsidR="008064AD">
        <w:rPr>
          <w:rFonts w:ascii="Arial" w:hAnsi="Arial" w:cs="Arial"/>
        </w:rPr>
        <w:t xml:space="preserve">  </w:t>
      </w:r>
    </w:p>
    <w:p w:rsidRPr="00DA4A15" w:rsidR="008064AD" w:rsidP="00176238" w:rsidRDefault="00DA4A15" w14:paraId="1717070E" w14:textId="7E1BC42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DA4A15">
        <w:rPr>
          <w:rFonts w:ascii="Arial" w:hAnsi="Arial" w:cs="Arial"/>
        </w:rPr>
        <w:t>If their automatic record access is blocked, patients can apply to have their access restored by the practice in the usual way</w:t>
      </w:r>
      <w:r w:rsidR="008064AD">
        <w:rPr>
          <w:rFonts w:ascii="Arial" w:hAnsi="Arial" w:cs="Arial"/>
        </w:rPr>
        <w:t>.</w:t>
      </w:r>
    </w:p>
    <w:p w:rsidRPr="00DA4A15" w:rsidR="003947E8" w:rsidP="00176238" w:rsidRDefault="003947E8" w14:paraId="023145EA" w14:textId="77777777">
      <w:pPr>
        <w:rPr>
          <w:rFonts w:ascii="Arial" w:hAnsi="Arial" w:cs="Arial"/>
          <w:sz w:val="22"/>
          <w:szCs w:val="22"/>
        </w:rPr>
      </w:pPr>
    </w:p>
    <w:p w:rsidRPr="00324CFE" w:rsidR="00174402" w:rsidP="00176238" w:rsidRDefault="00324CFE" w14:paraId="2D7FB4F3" w14:textId="7B3E78B8">
      <w:pPr>
        <w:rPr>
          <w:rFonts w:ascii="Arial" w:hAnsi="Arial" w:cs="Arial"/>
          <w:sz w:val="22"/>
          <w:szCs w:val="22"/>
        </w:rPr>
      </w:pPr>
      <w:r w:rsidRPr="00873819">
        <w:rPr>
          <w:rFonts w:ascii="Webdings" w:hAnsi="Webdings" w:eastAsia="Calibri" w:cs="Arial"/>
          <w:sz w:val="22"/>
          <w:szCs w:val="22"/>
        </w:rPr>
        <w:t>i</w:t>
      </w:r>
      <w:r w:rsidRPr="00324CFE">
        <w:rPr>
          <w:rFonts w:ascii="Arial" w:hAnsi="Arial" w:cs="Arial"/>
        </w:rPr>
        <w:t xml:space="preserve"> </w:t>
      </w:r>
      <w:r w:rsidRPr="00324CFE" w:rsidR="000780E9">
        <w:rPr>
          <w:rFonts w:ascii="Arial" w:hAnsi="Arial" w:cs="Arial"/>
          <w:sz w:val="22"/>
          <w:szCs w:val="22"/>
        </w:rPr>
        <w:t xml:space="preserve">There is more information about </w:t>
      </w:r>
      <w:r w:rsidRPr="00324CFE" w:rsidR="2C661EFE">
        <w:rPr>
          <w:rFonts w:ascii="Arial" w:hAnsi="Arial" w:cs="Arial"/>
          <w:sz w:val="22"/>
          <w:szCs w:val="22"/>
        </w:rPr>
        <w:t xml:space="preserve">managing </w:t>
      </w:r>
      <w:r w:rsidRPr="00324CFE" w:rsidR="000780E9">
        <w:rPr>
          <w:rFonts w:ascii="Arial" w:hAnsi="Arial" w:cs="Arial"/>
          <w:sz w:val="22"/>
          <w:szCs w:val="22"/>
        </w:rPr>
        <w:t>automatic record access</w:t>
      </w:r>
      <w:r w:rsidRPr="00324CFE" w:rsidR="2C661EFE">
        <w:rPr>
          <w:rFonts w:ascii="Arial" w:hAnsi="Arial" w:cs="Arial"/>
          <w:sz w:val="22"/>
          <w:szCs w:val="22"/>
        </w:rPr>
        <w:t xml:space="preserve"> safely</w:t>
      </w:r>
      <w:r w:rsidRPr="00324CFE" w:rsidR="000780E9">
        <w:rPr>
          <w:rFonts w:ascii="Arial" w:hAnsi="Arial" w:cs="Arial"/>
          <w:sz w:val="22"/>
          <w:szCs w:val="22"/>
        </w:rPr>
        <w:t xml:space="preserve"> in the “</w:t>
      </w:r>
      <w:r w:rsidRPr="00324CFE" w:rsidR="00CD699A">
        <w:rPr>
          <w:rFonts w:ascii="Arial" w:hAnsi="Arial" w:cs="Arial"/>
          <w:sz w:val="22"/>
          <w:szCs w:val="22"/>
        </w:rPr>
        <w:t>Working with</w:t>
      </w:r>
      <w:r w:rsidRPr="00324CFE" w:rsidR="000780E9">
        <w:rPr>
          <w:rFonts w:ascii="Arial" w:hAnsi="Arial" w:cs="Arial"/>
          <w:sz w:val="22"/>
          <w:szCs w:val="22"/>
        </w:rPr>
        <w:t xml:space="preserve"> Automatic Record Access” and </w:t>
      </w:r>
      <w:r w:rsidRPr="00324CFE" w:rsidR="2C661EFE">
        <w:rPr>
          <w:rFonts w:ascii="Arial" w:hAnsi="Arial" w:cs="Arial"/>
          <w:sz w:val="22"/>
          <w:szCs w:val="22"/>
        </w:rPr>
        <w:t xml:space="preserve">“Preparation for Automatic Record Access”, </w:t>
      </w:r>
      <w:r w:rsidRPr="00324CFE" w:rsidR="001767BF">
        <w:rPr>
          <w:rFonts w:ascii="Arial" w:hAnsi="Arial" w:cs="Arial"/>
          <w:sz w:val="22"/>
          <w:szCs w:val="22"/>
        </w:rPr>
        <w:t>and</w:t>
      </w:r>
      <w:r w:rsidRPr="00324CFE" w:rsidR="000780E9">
        <w:rPr>
          <w:rFonts w:ascii="Arial" w:hAnsi="Arial" w:cs="Arial"/>
          <w:sz w:val="22"/>
          <w:szCs w:val="22"/>
        </w:rPr>
        <w:t xml:space="preserve"> how specific SNOMED terms affect automatic record access in the “SNOMED Terms t</w:t>
      </w:r>
      <w:r w:rsidRPr="00324CFE" w:rsidR="00CD699A">
        <w:rPr>
          <w:rFonts w:ascii="Arial" w:hAnsi="Arial" w:cs="Arial"/>
          <w:sz w:val="22"/>
          <w:szCs w:val="22"/>
        </w:rPr>
        <w:t>hat Control</w:t>
      </w:r>
      <w:r w:rsidRPr="00324CFE" w:rsidR="000780E9">
        <w:rPr>
          <w:rFonts w:ascii="Arial" w:hAnsi="Arial" w:cs="Arial"/>
          <w:sz w:val="22"/>
          <w:szCs w:val="22"/>
        </w:rPr>
        <w:t xml:space="preserve"> Automatic Record Access” guidance and the “Flowchart - SNOMED T</w:t>
      </w:r>
      <w:r w:rsidRPr="00324CFE" w:rsidR="00CD699A">
        <w:rPr>
          <w:rFonts w:ascii="Arial" w:hAnsi="Arial" w:cs="Arial"/>
          <w:sz w:val="22"/>
          <w:szCs w:val="22"/>
        </w:rPr>
        <w:t>riggers for Automatic Record Access.</w:t>
      </w:r>
      <w:r w:rsidRPr="00324CFE" w:rsidR="000780E9">
        <w:rPr>
          <w:rFonts w:ascii="Arial" w:hAnsi="Arial" w:cs="Arial"/>
          <w:sz w:val="22"/>
          <w:szCs w:val="22"/>
        </w:rPr>
        <w:t>”</w:t>
      </w:r>
    </w:p>
    <w:p w:rsidRPr="003947E8" w:rsidR="003947E8" w:rsidP="00176238" w:rsidRDefault="003947E8" w14:paraId="278D771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b/>
          <w:bCs/>
          <w:color w:val="005392"/>
          <w:lang w:val="en-US"/>
        </w:rPr>
      </w:pPr>
    </w:p>
    <w:p w:rsidRPr="00BE2F58" w:rsidR="00142A2D" w:rsidP="00BE2F58" w:rsidRDefault="00F13B98" w14:paraId="30395254" w14:textId="1CB9E4FB">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426" w:hanging="426"/>
        <w:rPr>
          <w:rFonts w:ascii="Lato" w:hAnsi="Lato" w:cs="Arial"/>
          <w:b/>
          <w:bCs/>
          <w:color w:val="000000" w:themeColor="text1"/>
          <w:sz w:val="32"/>
          <w:szCs w:val="32"/>
        </w:rPr>
      </w:pPr>
      <w:r w:rsidRPr="00BE2F58">
        <w:rPr>
          <w:rFonts w:ascii="Lato" w:hAnsi="Lato" w:cs="Arial"/>
          <w:b/>
          <w:bCs/>
          <w:color w:val="000000" w:themeColor="text1"/>
          <w:sz w:val="32"/>
          <w:szCs w:val="32"/>
          <w:lang w:val="en-US"/>
        </w:rPr>
        <w:t>Coercion</w:t>
      </w:r>
    </w:p>
    <w:p w:rsidRPr="00176238" w:rsidR="00142A2D" w:rsidP="00176238" w:rsidRDefault="5DF80859" w14:paraId="3EB24E67" w14:textId="2532F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sz w:val="22"/>
          <w:szCs w:val="22"/>
        </w:rPr>
      </w:pPr>
      <w:r w:rsidRPr="00176238">
        <w:rPr>
          <w:rFonts w:ascii="Arial" w:hAnsi="Arial" w:eastAsia="Arial Nova" w:cs="Arial"/>
          <w:sz w:val="22"/>
          <w:szCs w:val="22"/>
        </w:rPr>
        <w:t>All practice staff must be aware of the potential risks of coercion and the indications to look out for to help patients who might be subject to coercion</w:t>
      </w:r>
      <w:r w:rsidRPr="00176238" w:rsidR="7354A6D2">
        <w:rPr>
          <w:rFonts w:ascii="Arial" w:hAnsi="Arial" w:eastAsia="Arial Nova" w:cs="Arial"/>
          <w:sz w:val="22"/>
          <w:szCs w:val="22"/>
        </w:rPr>
        <w:t>. I</w:t>
      </w:r>
      <w:r w:rsidRPr="00176238" w:rsidR="7354A6D2">
        <w:rPr>
          <w:rFonts w:ascii="Arial" w:hAnsi="Arial" w:cs="Arial"/>
          <w:sz w:val="22"/>
          <w:szCs w:val="22"/>
        </w:rPr>
        <w:t xml:space="preserve">t is the act of governing the actions of another by force or by threat, to overwhelm and compel that individual to act against their will. In this context, coercion might result in patients being forced to share access to their record, including login details, medical history, repeat prescriptions, and GP appointments. </w:t>
      </w:r>
      <w:r w:rsidRPr="00176238" w:rsidR="243A22D5">
        <w:rPr>
          <w:rFonts w:ascii="Arial" w:hAnsi="Arial" w:cs="Arial"/>
          <w:sz w:val="22"/>
          <w:szCs w:val="22"/>
        </w:rPr>
        <w:t xml:space="preserve"> </w:t>
      </w:r>
      <w:r w:rsidRPr="00176238" w:rsidR="7354A6D2">
        <w:rPr>
          <w:rFonts w:ascii="Arial" w:hAnsi="Arial" w:cs="Arial"/>
          <w:sz w:val="22"/>
          <w:szCs w:val="22"/>
        </w:rPr>
        <w:t>It gives someone abusing the patient the ability to control their access to healthcare.</w:t>
      </w:r>
    </w:p>
    <w:p w:rsidRPr="00176238" w:rsidR="00142A2D" w:rsidP="00176238" w:rsidRDefault="00F13B98" w14:paraId="59768BA0" w14:textId="77391404">
      <w:pPr>
        <w:spacing w:before="120" w:line="288" w:lineRule="auto"/>
        <w:rPr>
          <w:rFonts w:ascii="Arial" w:hAnsi="Arial" w:eastAsia="Calibri" w:cs="Arial"/>
          <w:color w:val="000000"/>
          <w:sz w:val="22"/>
          <w:szCs w:val="22"/>
        </w:rPr>
      </w:pPr>
      <w:r w:rsidRPr="13757D61">
        <w:rPr>
          <w:rFonts w:ascii="Arial" w:hAnsi="Arial" w:eastAsia="Calibri" w:cs="Arial"/>
          <w:color w:val="000000" w:themeColor="text1"/>
          <w:sz w:val="22"/>
          <w:szCs w:val="22"/>
        </w:rPr>
        <w:t xml:space="preserve">Coercion to share or misuse access to </w:t>
      </w:r>
      <w:r w:rsidRPr="13757D61" w:rsidR="00CA00DD">
        <w:rPr>
          <w:rFonts w:ascii="Arial" w:hAnsi="Arial" w:eastAsia="Calibri" w:cs="Arial"/>
          <w:color w:val="000000" w:themeColor="text1"/>
          <w:sz w:val="22"/>
          <w:szCs w:val="22"/>
        </w:rPr>
        <w:t xml:space="preserve">GP </w:t>
      </w:r>
      <w:r w:rsidRPr="13757D61" w:rsidR="7BF8B5A7">
        <w:rPr>
          <w:rFonts w:ascii="Arial" w:hAnsi="Arial" w:eastAsia="Calibri" w:cs="Arial"/>
          <w:color w:val="000000" w:themeColor="text1"/>
          <w:sz w:val="22"/>
          <w:szCs w:val="22"/>
        </w:rPr>
        <w:t>O</w:t>
      </w:r>
      <w:r w:rsidRPr="13757D61" w:rsidR="00CA00DD">
        <w:rPr>
          <w:rFonts w:ascii="Arial" w:hAnsi="Arial" w:eastAsia="Calibri" w:cs="Arial"/>
          <w:color w:val="000000" w:themeColor="text1"/>
          <w:sz w:val="22"/>
          <w:szCs w:val="22"/>
        </w:rPr>
        <w:t xml:space="preserve">nline </w:t>
      </w:r>
      <w:r w:rsidRPr="13757D61" w:rsidR="5729A435">
        <w:rPr>
          <w:rFonts w:ascii="Arial" w:hAnsi="Arial" w:eastAsia="Calibri" w:cs="Arial"/>
          <w:color w:val="000000" w:themeColor="text1"/>
          <w:sz w:val="22"/>
          <w:szCs w:val="22"/>
        </w:rPr>
        <w:t>S</w:t>
      </w:r>
      <w:r w:rsidRPr="13757D61" w:rsidR="00CA00DD">
        <w:rPr>
          <w:rFonts w:ascii="Arial" w:hAnsi="Arial" w:eastAsia="Calibri" w:cs="Arial"/>
          <w:color w:val="000000" w:themeColor="text1"/>
          <w:sz w:val="22"/>
          <w:szCs w:val="22"/>
        </w:rPr>
        <w:t>ervices</w:t>
      </w:r>
      <w:r w:rsidRPr="13757D61">
        <w:rPr>
          <w:rFonts w:ascii="Arial" w:hAnsi="Arial" w:eastAsia="Calibri" w:cs="Arial"/>
          <w:color w:val="000000" w:themeColor="text1"/>
          <w:sz w:val="22"/>
          <w:szCs w:val="22"/>
        </w:rPr>
        <w:t xml:space="preserve"> is most likely to happen if the patient is a child, an adult in an abusive relationship, or</w:t>
      </w:r>
      <w:r w:rsidRPr="13757D61" w:rsidR="000E197E">
        <w:rPr>
          <w:rFonts w:ascii="Arial" w:hAnsi="Arial" w:eastAsia="Calibri" w:cs="Arial"/>
          <w:color w:val="000000" w:themeColor="text1"/>
          <w:sz w:val="22"/>
          <w:szCs w:val="22"/>
        </w:rPr>
        <w:t xml:space="preserve"> </w:t>
      </w:r>
      <w:r w:rsidRPr="13757D61">
        <w:rPr>
          <w:rFonts w:ascii="Arial" w:hAnsi="Arial" w:eastAsia="Calibri" w:cs="Arial"/>
          <w:color w:val="000000" w:themeColor="text1"/>
          <w:sz w:val="22"/>
          <w:szCs w:val="22"/>
        </w:rPr>
        <w:t>an elderly</w:t>
      </w:r>
      <w:r w:rsidRPr="13757D61" w:rsidR="00BE68DA">
        <w:rPr>
          <w:rFonts w:ascii="Arial" w:hAnsi="Arial" w:eastAsia="Calibri" w:cs="Arial"/>
          <w:color w:val="000000" w:themeColor="text1"/>
          <w:sz w:val="22"/>
          <w:szCs w:val="22"/>
        </w:rPr>
        <w:t xml:space="preserve"> person </w:t>
      </w:r>
      <w:r w:rsidRPr="13757D61" w:rsidR="00EE3C41">
        <w:rPr>
          <w:rFonts w:ascii="Arial" w:hAnsi="Arial" w:eastAsia="Calibri" w:cs="Arial"/>
          <w:color w:val="000000" w:themeColor="text1"/>
          <w:sz w:val="22"/>
          <w:szCs w:val="22"/>
        </w:rPr>
        <w:t>who lacks</w:t>
      </w:r>
      <w:r w:rsidRPr="13757D61" w:rsidR="00BE68DA">
        <w:rPr>
          <w:rFonts w:ascii="Arial" w:hAnsi="Arial" w:eastAsia="Calibri" w:cs="Arial"/>
          <w:color w:val="000000" w:themeColor="text1"/>
          <w:sz w:val="22"/>
          <w:szCs w:val="22"/>
        </w:rPr>
        <w:t xml:space="preserve"> capacity</w:t>
      </w:r>
      <w:r w:rsidRPr="13757D61" w:rsidR="001A6E41">
        <w:rPr>
          <w:rFonts w:ascii="Arial" w:hAnsi="Arial" w:eastAsia="Calibri" w:cs="Arial"/>
          <w:color w:val="000000" w:themeColor="text1"/>
          <w:sz w:val="22"/>
          <w:szCs w:val="22"/>
        </w:rPr>
        <w:t>,</w:t>
      </w:r>
      <w:r w:rsidRPr="13757D61">
        <w:rPr>
          <w:rFonts w:ascii="Arial" w:hAnsi="Arial" w:eastAsia="Calibri" w:cs="Arial"/>
          <w:color w:val="000000" w:themeColor="text1"/>
          <w:sz w:val="22"/>
          <w:szCs w:val="22"/>
        </w:rPr>
        <w:t xml:space="preserve"> or an otherwise vulnerable adult. </w:t>
      </w:r>
    </w:p>
    <w:p w:rsidRPr="00176238" w:rsidR="00142A2D" w:rsidP="00176238" w:rsidRDefault="00F13B98" w14:paraId="33D75A88" w14:textId="33610C61">
      <w:pPr>
        <w:spacing w:before="120" w:line="288" w:lineRule="auto"/>
        <w:rPr>
          <w:rFonts w:ascii="Arial" w:hAnsi="Arial" w:eastAsia="Calibri" w:cs="Arial"/>
          <w:color w:val="000000"/>
          <w:sz w:val="22"/>
          <w:szCs w:val="22"/>
        </w:rPr>
      </w:pPr>
      <w:r w:rsidRPr="13757D61">
        <w:rPr>
          <w:rFonts w:ascii="Arial" w:hAnsi="Arial" w:eastAsia="Calibri" w:cs="Arial"/>
          <w:color w:val="000000" w:themeColor="text1"/>
          <w:sz w:val="22"/>
          <w:szCs w:val="22"/>
        </w:rPr>
        <w:t xml:space="preserve">You may already have processes in place to manage safeguarding risks of suspected coercion relating to paper-based and face-to-face services but </w:t>
      </w:r>
      <w:r w:rsidRPr="13757D61" w:rsidR="00CA00DD">
        <w:rPr>
          <w:rFonts w:ascii="Arial" w:hAnsi="Arial" w:eastAsia="Calibri" w:cs="Arial"/>
          <w:color w:val="000000" w:themeColor="text1"/>
          <w:sz w:val="22"/>
          <w:szCs w:val="22"/>
        </w:rPr>
        <w:t xml:space="preserve">GP </w:t>
      </w:r>
      <w:r w:rsidRPr="13757D61" w:rsidR="4F022D9A">
        <w:rPr>
          <w:rFonts w:ascii="Arial" w:hAnsi="Arial" w:eastAsia="Calibri" w:cs="Arial"/>
          <w:color w:val="000000" w:themeColor="text1"/>
          <w:sz w:val="22"/>
          <w:szCs w:val="22"/>
        </w:rPr>
        <w:t>O</w:t>
      </w:r>
      <w:r w:rsidRPr="13757D61" w:rsidR="00CA00DD">
        <w:rPr>
          <w:rFonts w:ascii="Arial" w:hAnsi="Arial" w:eastAsia="Calibri" w:cs="Arial"/>
          <w:color w:val="000000" w:themeColor="text1"/>
          <w:sz w:val="22"/>
          <w:szCs w:val="22"/>
        </w:rPr>
        <w:t xml:space="preserve">nline </w:t>
      </w:r>
      <w:r w:rsidRPr="13757D61" w:rsidR="4416ED70">
        <w:rPr>
          <w:rFonts w:ascii="Arial" w:hAnsi="Arial" w:eastAsia="Calibri" w:cs="Arial"/>
          <w:color w:val="000000" w:themeColor="text1"/>
          <w:sz w:val="22"/>
          <w:szCs w:val="22"/>
        </w:rPr>
        <w:t>S</w:t>
      </w:r>
      <w:r w:rsidRPr="13757D61" w:rsidR="00CA00DD">
        <w:rPr>
          <w:rFonts w:ascii="Arial" w:hAnsi="Arial" w:eastAsia="Calibri" w:cs="Arial"/>
          <w:color w:val="000000" w:themeColor="text1"/>
          <w:sz w:val="22"/>
          <w:szCs w:val="22"/>
        </w:rPr>
        <w:t>ervice</w:t>
      </w:r>
      <w:r w:rsidRPr="13757D61" w:rsidR="005434C8">
        <w:rPr>
          <w:rFonts w:ascii="Arial" w:hAnsi="Arial" w:eastAsia="Calibri" w:cs="Arial"/>
          <w:color w:val="000000" w:themeColor="text1"/>
          <w:sz w:val="22"/>
          <w:szCs w:val="22"/>
        </w:rPr>
        <w:t>s</w:t>
      </w:r>
      <w:r w:rsidRPr="13757D61">
        <w:rPr>
          <w:rFonts w:ascii="Arial" w:hAnsi="Arial" w:eastAsia="Calibri" w:cs="Arial"/>
          <w:color w:val="000000" w:themeColor="text1"/>
          <w:sz w:val="22"/>
          <w:szCs w:val="22"/>
        </w:rPr>
        <w:t xml:space="preserve"> create new and additional opportunities for coercive behavior that must be addressed specifically. </w:t>
      </w:r>
      <w:r w:rsidRPr="13757D61" w:rsidR="00EE3C41">
        <w:rPr>
          <w:rFonts w:ascii="Arial" w:hAnsi="Arial" w:eastAsia="Calibri" w:cs="Arial"/>
          <w:color w:val="000000" w:themeColor="text1"/>
          <w:sz w:val="22"/>
          <w:szCs w:val="22"/>
        </w:rPr>
        <w:t xml:space="preserve"> </w:t>
      </w:r>
      <w:r w:rsidRPr="13757D61">
        <w:rPr>
          <w:rFonts w:ascii="Arial" w:hAnsi="Arial" w:eastAsia="Calibri" w:cs="Arial"/>
          <w:color w:val="000000" w:themeColor="text1"/>
          <w:sz w:val="22"/>
          <w:szCs w:val="22"/>
        </w:rPr>
        <w:t xml:space="preserve">Everyone in the </w:t>
      </w:r>
      <w:r w:rsidRPr="13757D61">
        <w:rPr>
          <w:rFonts w:ascii="Arial" w:hAnsi="Arial" w:eastAsia="Calibri" w:cs="Arial"/>
          <w:color w:val="000000" w:themeColor="text1"/>
          <w:sz w:val="22"/>
          <w:szCs w:val="22"/>
        </w:rPr>
        <w:lastRenderedPageBreak/>
        <w:t>practice who signs up patients for</w:t>
      </w:r>
      <w:r w:rsidRPr="13757D61" w:rsidR="00EE3C41">
        <w:rPr>
          <w:rFonts w:ascii="Arial" w:hAnsi="Arial" w:eastAsia="Calibri" w:cs="Arial"/>
          <w:color w:val="000000" w:themeColor="text1"/>
          <w:sz w:val="22"/>
          <w:szCs w:val="22"/>
        </w:rPr>
        <w:t xml:space="preserve"> any practice</w:t>
      </w:r>
      <w:r w:rsidRPr="13757D61" w:rsidR="00CA00DD">
        <w:rPr>
          <w:rFonts w:ascii="Arial" w:hAnsi="Arial" w:eastAsia="Calibri" w:cs="Arial"/>
          <w:color w:val="000000" w:themeColor="text1"/>
          <w:sz w:val="22"/>
          <w:szCs w:val="22"/>
        </w:rPr>
        <w:t xml:space="preserve"> </w:t>
      </w:r>
      <w:r w:rsidRPr="13757D61" w:rsidR="00EE3C41">
        <w:rPr>
          <w:rFonts w:ascii="Arial" w:hAnsi="Arial" w:eastAsia="Calibri" w:cs="Arial"/>
          <w:color w:val="000000" w:themeColor="text1"/>
          <w:sz w:val="22"/>
          <w:szCs w:val="22"/>
        </w:rPr>
        <w:t>o</w:t>
      </w:r>
      <w:r w:rsidRPr="13757D61" w:rsidR="00CA00DD">
        <w:rPr>
          <w:rFonts w:ascii="Arial" w:hAnsi="Arial" w:eastAsia="Calibri" w:cs="Arial"/>
          <w:color w:val="000000" w:themeColor="text1"/>
          <w:sz w:val="22"/>
          <w:szCs w:val="22"/>
        </w:rPr>
        <w:t xml:space="preserve">nline </w:t>
      </w:r>
      <w:r w:rsidRPr="13757D61" w:rsidR="00EE3C41">
        <w:rPr>
          <w:rFonts w:ascii="Arial" w:hAnsi="Arial" w:eastAsia="Calibri" w:cs="Arial"/>
          <w:color w:val="000000" w:themeColor="text1"/>
          <w:sz w:val="22"/>
          <w:szCs w:val="22"/>
        </w:rPr>
        <w:t>s</w:t>
      </w:r>
      <w:r w:rsidRPr="13757D61" w:rsidR="00CA00DD">
        <w:rPr>
          <w:rFonts w:ascii="Arial" w:hAnsi="Arial" w:eastAsia="Calibri" w:cs="Arial"/>
          <w:color w:val="000000" w:themeColor="text1"/>
          <w:sz w:val="22"/>
          <w:szCs w:val="22"/>
        </w:rPr>
        <w:t>ervices</w:t>
      </w:r>
      <w:r w:rsidRPr="13757D61">
        <w:rPr>
          <w:rFonts w:ascii="Arial" w:hAnsi="Arial" w:eastAsia="Calibri" w:cs="Arial"/>
          <w:color w:val="000000" w:themeColor="text1"/>
          <w:sz w:val="22"/>
          <w:szCs w:val="22"/>
        </w:rPr>
        <w:t xml:space="preserve"> must be aware of the possibility of coercion and actively seek indications of it.</w:t>
      </w:r>
    </w:p>
    <w:p w:rsidRPr="00176238" w:rsidR="00142A2D" w:rsidP="00176238" w:rsidRDefault="00F13B98" w14:paraId="67B8F257" w14:textId="14AD4206">
      <w:pPr>
        <w:spacing w:before="120" w:line="288" w:lineRule="auto"/>
        <w:rPr>
          <w:rFonts w:ascii="Arial" w:hAnsi="Arial" w:eastAsia="Calibri" w:cs="Arial"/>
          <w:color w:val="000000"/>
          <w:sz w:val="22"/>
          <w:szCs w:val="22"/>
        </w:rPr>
      </w:pPr>
      <w:r w:rsidRPr="00176238">
        <w:rPr>
          <w:rFonts w:ascii="Arial" w:hAnsi="Arial" w:eastAsia="Calibri" w:cs="Arial"/>
          <w:color w:val="000000" w:themeColor="text1"/>
          <w:sz w:val="22"/>
          <w:szCs w:val="22"/>
        </w:rPr>
        <w:t xml:space="preserve">Always discuss the issue of coercion with patients who ask to sign up for </w:t>
      </w:r>
      <w:r w:rsidR="00EE3C41">
        <w:rPr>
          <w:rFonts w:ascii="Arial" w:hAnsi="Arial" w:eastAsia="Calibri" w:cs="Arial"/>
          <w:color w:val="000000" w:themeColor="text1"/>
          <w:sz w:val="22"/>
          <w:szCs w:val="22"/>
        </w:rPr>
        <w:t>o</w:t>
      </w:r>
      <w:r w:rsidRPr="00176238" w:rsidR="00CA00DD">
        <w:rPr>
          <w:rFonts w:ascii="Arial" w:hAnsi="Arial" w:eastAsia="Calibri" w:cs="Arial"/>
          <w:color w:val="000000" w:themeColor="text1"/>
          <w:sz w:val="22"/>
          <w:szCs w:val="22"/>
        </w:rPr>
        <w:t xml:space="preserve">nline </w:t>
      </w:r>
      <w:r w:rsidR="00EE3C41">
        <w:rPr>
          <w:rFonts w:ascii="Arial" w:hAnsi="Arial" w:eastAsia="Calibri" w:cs="Arial"/>
          <w:color w:val="000000" w:themeColor="text1"/>
          <w:sz w:val="22"/>
          <w:szCs w:val="22"/>
        </w:rPr>
        <w:t>s</w:t>
      </w:r>
      <w:r w:rsidRPr="00176238" w:rsidR="00CA00DD">
        <w:rPr>
          <w:rFonts w:ascii="Arial" w:hAnsi="Arial" w:eastAsia="Calibri" w:cs="Arial"/>
          <w:color w:val="000000" w:themeColor="text1"/>
          <w:sz w:val="22"/>
          <w:szCs w:val="22"/>
        </w:rPr>
        <w:t>ervices</w:t>
      </w:r>
      <w:r w:rsidRPr="00176238">
        <w:rPr>
          <w:rFonts w:ascii="Arial" w:hAnsi="Arial" w:eastAsia="Calibri" w:cs="Arial"/>
          <w:color w:val="000000" w:themeColor="text1"/>
          <w:sz w:val="22"/>
          <w:szCs w:val="22"/>
        </w:rPr>
        <w:t>. and ensure that they understand and accept the risks. Every new applicant should be asked a question to raise the issue of coercion such as “Is it possible that you may come under pressure to give</w:t>
      </w:r>
      <w:r w:rsidRPr="2613DA97">
        <w:rPr>
          <w:rFonts w:ascii="Arial" w:hAnsi="Arial" w:eastAsia="Calibri" w:cs="Arial"/>
          <w:color w:val="000000" w:themeColor="text1"/>
          <w:sz w:val="22"/>
          <w:szCs w:val="22"/>
        </w:rPr>
        <w:t xml:space="preserve"> </w:t>
      </w:r>
      <w:r w:rsidRPr="00176238">
        <w:rPr>
          <w:rFonts w:ascii="Arial" w:hAnsi="Arial" w:eastAsia="Calibri" w:cs="Arial"/>
          <w:color w:val="000000" w:themeColor="text1"/>
          <w:sz w:val="22"/>
          <w:szCs w:val="22"/>
        </w:rPr>
        <w:t>someone access to your personal information against your will”. The question should be included in a registration form for online services for patients.</w:t>
      </w:r>
    </w:p>
    <w:p w:rsidRPr="00176238" w:rsidR="00142A2D" w:rsidP="00176238" w:rsidRDefault="00F13B98" w14:paraId="3D35D2C4" w14:textId="2247F59A">
      <w:pPr>
        <w:spacing w:before="120" w:line="288" w:lineRule="auto"/>
        <w:rPr>
          <w:rFonts w:ascii="Arial" w:hAnsi="Arial" w:eastAsia="Calibri" w:cs="Arial"/>
          <w:color w:val="000000"/>
          <w:sz w:val="22"/>
          <w:szCs w:val="22"/>
        </w:rPr>
      </w:pPr>
      <w:r w:rsidRPr="00176238">
        <w:rPr>
          <w:rFonts w:ascii="Arial" w:hAnsi="Arial" w:eastAsia="Calibri" w:cs="Arial"/>
          <w:color w:val="000000" w:themeColor="text1"/>
          <w:sz w:val="22"/>
          <w:szCs w:val="22"/>
        </w:rPr>
        <w:t xml:space="preserve">Any suspicion or evident risk of coercion must </w:t>
      </w:r>
      <w:r w:rsidRPr="00176238" w:rsidR="00260AC3">
        <w:rPr>
          <w:rFonts w:ascii="Arial" w:hAnsi="Arial" w:eastAsia="Calibri" w:cs="Arial"/>
          <w:color w:val="000000" w:themeColor="text1"/>
          <w:sz w:val="22"/>
          <w:szCs w:val="22"/>
        </w:rPr>
        <w:t xml:space="preserve">be </w:t>
      </w:r>
      <w:r w:rsidRPr="00176238">
        <w:rPr>
          <w:rFonts w:ascii="Arial" w:hAnsi="Arial" w:eastAsia="Calibri" w:cs="Arial"/>
          <w:color w:val="000000" w:themeColor="text1"/>
          <w:sz w:val="22"/>
          <w:szCs w:val="22"/>
        </w:rPr>
        <w:t xml:space="preserve">referred to the practice </w:t>
      </w:r>
      <w:r w:rsidR="00C03E5B">
        <w:rPr>
          <w:rFonts w:ascii="Arial" w:hAnsi="Arial" w:eastAsia="Calibri" w:cs="Arial"/>
          <w:color w:val="000000" w:themeColor="text1"/>
          <w:sz w:val="22"/>
          <w:szCs w:val="22"/>
        </w:rPr>
        <w:t>o</w:t>
      </w:r>
      <w:r w:rsidRPr="00176238" w:rsidR="00CA00DD">
        <w:rPr>
          <w:rFonts w:ascii="Arial" w:hAnsi="Arial" w:eastAsia="Calibri" w:cs="Arial"/>
          <w:color w:val="000000" w:themeColor="text1"/>
          <w:sz w:val="22"/>
          <w:szCs w:val="22"/>
        </w:rPr>
        <w:t xml:space="preserve">nline </w:t>
      </w:r>
      <w:r w:rsidR="00C03E5B">
        <w:rPr>
          <w:rFonts w:ascii="Arial" w:hAnsi="Arial" w:eastAsia="Calibri" w:cs="Arial"/>
          <w:color w:val="000000" w:themeColor="text1"/>
          <w:sz w:val="22"/>
          <w:szCs w:val="22"/>
        </w:rPr>
        <w:t>s</w:t>
      </w:r>
      <w:r w:rsidRPr="00176238" w:rsidR="00CA00DD">
        <w:rPr>
          <w:rFonts w:ascii="Arial" w:hAnsi="Arial" w:eastAsia="Calibri" w:cs="Arial"/>
          <w:color w:val="000000" w:themeColor="text1"/>
          <w:sz w:val="22"/>
          <w:szCs w:val="22"/>
        </w:rPr>
        <w:t>ervices</w:t>
      </w:r>
      <w:r w:rsidRPr="00176238">
        <w:rPr>
          <w:rFonts w:ascii="Arial" w:hAnsi="Arial" w:eastAsia="Calibri" w:cs="Arial"/>
          <w:color w:val="000000" w:themeColor="text1"/>
          <w:sz w:val="22"/>
          <w:szCs w:val="22"/>
        </w:rPr>
        <w:t xml:space="preserve"> lead or a senior clinician who knows the patient to consider withholding </w:t>
      </w:r>
      <w:r w:rsidR="00C03E5B">
        <w:rPr>
          <w:rFonts w:ascii="Arial" w:hAnsi="Arial" w:eastAsia="Calibri" w:cs="Arial"/>
          <w:color w:val="000000" w:themeColor="text1"/>
          <w:sz w:val="22"/>
          <w:szCs w:val="22"/>
        </w:rPr>
        <w:t>online access</w:t>
      </w:r>
      <w:r w:rsidRPr="00176238">
        <w:rPr>
          <w:rFonts w:ascii="Arial" w:hAnsi="Arial" w:eastAsia="Calibri" w:cs="Arial"/>
          <w:color w:val="000000" w:themeColor="text1"/>
          <w:sz w:val="22"/>
          <w:szCs w:val="22"/>
        </w:rPr>
        <w:t xml:space="preserve"> at least until the situation can be thoroughly investigated and assessed.</w:t>
      </w:r>
      <w:r w:rsidR="00C03E5B">
        <w:rPr>
          <w:rFonts w:ascii="Arial" w:hAnsi="Arial" w:eastAsia="Calibri" w:cs="Arial"/>
          <w:color w:val="000000" w:themeColor="text1"/>
          <w:sz w:val="22"/>
          <w:szCs w:val="22"/>
        </w:rPr>
        <w:t xml:space="preserve"> </w:t>
      </w:r>
      <w:r w:rsidRPr="00176238">
        <w:rPr>
          <w:rFonts w:ascii="Arial" w:hAnsi="Arial" w:eastAsia="Calibri" w:cs="Arial"/>
          <w:color w:val="000000" w:themeColor="text1"/>
          <w:sz w:val="22"/>
          <w:szCs w:val="22"/>
        </w:rPr>
        <w:t xml:space="preserve"> It may be possible to sign the patient up to</w:t>
      </w:r>
      <w:r w:rsidR="00C03E5B">
        <w:rPr>
          <w:rFonts w:ascii="Arial" w:hAnsi="Arial" w:eastAsia="Calibri" w:cs="Arial"/>
          <w:color w:val="000000" w:themeColor="text1"/>
          <w:sz w:val="22"/>
          <w:szCs w:val="22"/>
        </w:rPr>
        <w:t xml:space="preserve"> </w:t>
      </w:r>
      <w:r w:rsidRPr="00176238">
        <w:rPr>
          <w:rFonts w:ascii="Arial" w:hAnsi="Arial" w:eastAsia="Calibri" w:cs="Arial"/>
          <w:color w:val="000000" w:themeColor="text1"/>
          <w:sz w:val="22"/>
          <w:szCs w:val="22"/>
        </w:rPr>
        <w:t>limited</w:t>
      </w:r>
      <w:r w:rsidR="00C03E5B">
        <w:rPr>
          <w:rFonts w:ascii="Arial" w:hAnsi="Arial" w:eastAsia="Calibri" w:cs="Arial"/>
          <w:color w:val="000000" w:themeColor="text1"/>
          <w:sz w:val="22"/>
          <w:szCs w:val="22"/>
        </w:rPr>
        <w:t xml:space="preserve"> access</w:t>
      </w:r>
      <w:r w:rsidRPr="00176238">
        <w:rPr>
          <w:rFonts w:ascii="Arial" w:hAnsi="Arial" w:eastAsia="Calibri" w:cs="Arial"/>
          <w:color w:val="000000" w:themeColor="text1"/>
          <w:sz w:val="22"/>
          <w:szCs w:val="22"/>
        </w:rPr>
        <w:t xml:space="preserve">. </w:t>
      </w:r>
      <w:r w:rsidR="00C03E5B">
        <w:rPr>
          <w:rFonts w:ascii="Arial" w:hAnsi="Arial" w:eastAsia="Calibri" w:cs="Arial"/>
          <w:color w:val="000000" w:themeColor="text1"/>
          <w:sz w:val="22"/>
          <w:szCs w:val="22"/>
        </w:rPr>
        <w:t xml:space="preserve"> </w:t>
      </w:r>
      <w:r w:rsidRPr="00176238">
        <w:rPr>
          <w:rFonts w:ascii="Arial" w:hAnsi="Arial" w:eastAsia="Calibri" w:cs="Arial"/>
          <w:color w:val="000000" w:themeColor="text1"/>
          <w:sz w:val="22"/>
          <w:szCs w:val="22"/>
        </w:rPr>
        <w:t xml:space="preserve">Any </w:t>
      </w:r>
      <w:r w:rsidR="00C03E5B">
        <w:rPr>
          <w:rFonts w:ascii="Arial" w:hAnsi="Arial" w:eastAsia="Calibri" w:cs="Arial"/>
          <w:color w:val="000000" w:themeColor="text1"/>
          <w:sz w:val="22"/>
          <w:szCs w:val="22"/>
        </w:rPr>
        <w:t>information in the record</w:t>
      </w:r>
      <w:r w:rsidRPr="00176238">
        <w:rPr>
          <w:rFonts w:ascii="Arial" w:hAnsi="Arial" w:eastAsia="Calibri" w:cs="Arial"/>
          <w:color w:val="000000" w:themeColor="text1"/>
          <w:sz w:val="22"/>
          <w:szCs w:val="22"/>
        </w:rPr>
        <w:t xml:space="preserve"> indicating abuse must be redacted.</w:t>
      </w:r>
    </w:p>
    <w:p w:rsidRPr="00873819" w:rsidR="00C03E5B" w:rsidP="00324CFE" w:rsidRDefault="00873819" w14:paraId="3838B82D" w14:textId="51D7673F">
      <w:pPr>
        <w:spacing w:before="120" w:line="288" w:lineRule="auto"/>
        <w:rPr>
          <w:rFonts w:ascii="Arial" w:hAnsi="Arial" w:eastAsia="Calibri" w:cs="Arial"/>
          <w:sz w:val="22"/>
          <w:szCs w:val="22"/>
        </w:rPr>
      </w:pPr>
      <w:bookmarkStart w:name="_Hlk117246761" w:id="3"/>
      <w:r w:rsidRPr="00873819">
        <w:rPr>
          <w:rFonts w:ascii="Webdings" w:hAnsi="Webdings" w:eastAsia="Calibri" w:cs="Arial"/>
          <w:sz w:val="22"/>
          <w:szCs w:val="22"/>
        </w:rPr>
        <w:t>i</w:t>
      </w:r>
      <w:bookmarkEnd w:id="3"/>
      <w:r>
        <w:rPr>
          <w:rFonts w:ascii="Webdings" w:hAnsi="Webdings" w:eastAsia="Calibri" w:cs="Arial"/>
          <w:sz w:val="22"/>
          <w:szCs w:val="22"/>
        </w:rPr>
        <w:t xml:space="preserve"> </w:t>
      </w:r>
      <w:r w:rsidRPr="00873819" w:rsidR="00F13B98">
        <w:rPr>
          <w:rFonts w:ascii="Arial" w:hAnsi="Arial" w:eastAsia="Calibri" w:cs="Arial"/>
          <w:sz w:val="22"/>
          <w:szCs w:val="22"/>
        </w:rPr>
        <w:t xml:space="preserve">There </w:t>
      </w:r>
      <w:r w:rsidRPr="00873819" w:rsidR="00C03E5B">
        <w:rPr>
          <w:rFonts w:ascii="Arial" w:hAnsi="Arial" w:eastAsia="Calibri" w:cs="Arial"/>
          <w:sz w:val="22"/>
          <w:szCs w:val="22"/>
        </w:rPr>
        <w:t>i</w:t>
      </w:r>
      <w:r w:rsidRPr="00873819" w:rsidR="00F13B98">
        <w:rPr>
          <w:rFonts w:ascii="Arial" w:hAnsi="Arial" w:eastAsia="Calibri" w:cs="Arial"/>
          <w:sz w:val="22"/>
          <w:szCs w:val="22"/>
        </w:rPr>
        <w:t xml:space="preserve">s more information about Coercion </w:t>
      </w:r>
      <w:r w:rsidRPr="00873819" w:rsidR="00CA00DD">
        <w:rPr>
          <w:rFonts w:ascii="Arial" w:hAnsi="Arial" w:eastAsia="Calibri" w:cs="Arial"/>
          <w:sz w:val="22"/>
          <w:szCs w:val="22"/>
        </w:rPr>
        <w:t xml:space="preserve">and Safeguarding risks </w:t>
      </w:r>
      <w:r w:rsidRPr="00873819" w:rsidR="00F13B98">
        <w:rPr>
          <w:rFonts w:ascii="Arial" w:hAnsi="Arial" w:eastAsia="Calibri" w:cs="Arial"/>
          <w:sz w:val="22"/>
          <w:szCs w:val="22"/>
        </w:rPr>
        <w:t xml:space="preserve">and a template for a new application form in the Toolkit. </w:t>
      </w:r>
      <w:r w:rsidRPr="00873819" w:rsidR="00CA00DD">
        <w:rPr>
          <w:rFonts w:ascii="Arial" w:hAnsi="Arial" w:eastAsia="Calibri" w:cs="Arial"/>
          <w:sz w:val="22"/>
          <w:szCs w:val="22"/>
        </w:rPr>
        <w:t xml:space="preserve"> </w:t>
      </w:r>
    </w:p>
    <w:p w:rsidRPr="00873819" w:rsidR="00C03E5B" w:rsidP="00324CFE" w:rsidRDefault="00873819" w14:paraId="61AB6979" w14:textId="4FA0C1A4">
      <w:pPr>
        <w:spacing w:before="120" w:line="288" w:lineRule="auto"/>
        <w:rPr>
          <w:rFonts w:ascii="Arial" w:hAnsi="Arial" w:eastAsia="Calibri" w:cs="Arial"/>
          <w:sz w:val="22"/>
          <w:szCs w:val="22"/>
        </w:rPr>
      </w:pPr>
      <w:r w:rsidRPr="00873819">
        <w:rPr>
          <w:rFonts w:ascii="Webdings" w:hAnsi="Webdings" w:eastAsia="Calibri" w:cs="Arial"/>
          <w:sz w:val="22"/>
          <w:szCs w:val="22"/>
        </w:rPr>
        <w:t>i</w:t>
      </w:r>
      <w:r>
        <w:rPr>
          <w:rFonts w:ascii="Webdings" w:hAnsi="Webdings" w:eastAsia="Calibri" w:cs="Arial"/>
          <w:sz w:val="22"/>
          <w:szCs w:val="22"/>
        </w:rPr>
        <w:t xml:space="preserve"> </w:t>
      </w:r>
      <w:r w:rsidRPr="00873819" w:rsidR="00F13B98">
        <w:rPr>
          <w:rFonts w:ascii="Arial" w:hAnsi="Arial" w:eastAsia="Calibri" w:cs="Arial"/>
          <w:sz w:val="22"/>
          <w:szCs w:val="22"/>
        </w:rPr>
        <w:t>RCGP, NICE, Safe</w:t>
      </w:r>
      <w:r w:rsidRPr="00873819" w:rsidR="00CA00DD">
        <w:rPr>
          <w:rFonts w:ascii="Arial" w:hAnsi="Arial" w:eastAsia="Calibri" w:cs="Arial"/>
          <w:sz w:val="22"/>
          <w:szCs w:val="22"/>
        </w:rPr>
        <w:t>L</w:t>
      </w:r>
      <w:r w:rsidRPr="00873819" w:rsidR="00F13B98">
        <w:rPr>
          <w:rFonts w:ascii="Arial" w:hAnsi="Arial" w:eastAsia="Calibri" w:cs="Arial"/>
          <w:sz w:val="22"/>
          <w:szCs w:val="22"/>
        </w:rPr>
        <w:t xml:space="preserve">ives and IRIS (Identification &amp; Referral to Improve Safety) have published guidance for practices to help effective response to patients experiencing domestic abuse (see Resources below). </w:t>
      </w:r>
    </w:p>
    <w:p w:rsidRPr="00873819" w:rsidR="00142A2D" w:rsidP="00324CFE" w:rsidRDefault="00873819" w14:paraId="3555639F" w14:textId="65317DAD">
      <w:pPr>
        <w:spacing w:before="120" w:line="288" w:lineRule="auto"/>
        <w:rPr>
          <w:rFonts w:ascii="Arial" w:hAnsi="Arial" w:eastAsia="Calibri" w:cs="Arial"/>
          <w:sz w:val="22"/>
          <w:szCs w:val="22"/>
        </w:rPr>
      </w:pPr>
      <w:r w:rsidRPr="00873819">
        <w:rPr>
          <w:rFonts w:ascii="Webdings" w:hAnsi="Webdings" w:eastAsia="Calibri" w:cs="Arial"/>
          <w:sz w:val="22"/>
          <w:szCs w:val="22"/>
        </w:rPr>
        <w:t>i</w:t>
      </w:r>
      <w:r>
        <w:rPr>
          <w:rFonts w:ascii="Webdings" w:hAnsi="Webdings" w:eastAsia="Calibri" w:cs="Arial"/>
          <w:sz w:val="22"/>
          <w:szCs w:val="22"/>
        </w:rPr>
        <w:t xml:space="preserve"> </w:t>
      </w:r>
      <w:r w:rsidRPr="00873819" w:rsidR="00F13B98">
        <w:rPr>
          <w:rFonts w:ascii="Arial" w:hAnsi="Arial" w:eastAsia="Calibri" w:cs="Arial"/>
          <w:sz w:val="22"/>
          <w:szCs w:val="22"/>
        </w:rPr>
        <w:t xml:space="preserve">There is more information on the management of harmful data in the guidance on </w:t>
      </w:r>
      <w:r w:rsidRPr="00873819" w:rsidR="00C03E5B">
        <w:rPr>
          <w:rFonts w:ascii="Arial" w:hAnsi="Arial" w:eastAsia="Calibri" w:cs="Arial"/>
          <w:sz w:val="22"/>
          <w:szCs w:val="22"/>
        </w:rPr>
        <w:t xml:space="preserve">“Managing Potentially Harmful Information” in </w:t>
      </w:r>
      <w:r w:rsidRPr="00873819" w:rsidR="00F13B98">
        <w:rPr>
          <w:rFonts w:ascii="Arial" w:hAnsi="Arial" w:eastAsia="Calibri" w:cs="Arial"/>
          <w:sz w:val="22"/>
          <w:szCs w:val="22"/>
        </w:rPr>
        <w:t>the Toolkit</w:t>
      </w:r>
      <w:r w:rsidRPr="00873819" w:rsidR="00260AC3">
        <w:rPr>
          <w:rFonts w:ascii="Arial" w:hAnsi="Arial" w:eastAsia="Calibri" w:cs="Arial"/>
          <w:sz w:val="22"/>
          <w:szCs w:val="22"/>
        </w:rPr>
        <w:t>.</w:t>
      </w:r>
    </w:p>
    <w:p w:rsidRPr="00206986" w:rsidR="00206986" w:rsidP="00206986" w:rsidRDefault="00206986" w14:paraId="0DE37380" w14:textId="77777777">
      <w:pPr>
        <w:spacing w:before="120" w:line="288" w:lineRule="auto"/>
        <w:rPr>
          <w:rFonts w:ascii="Arial" w:hAnsi="Arial" w:eastAsia="Calibri" w:cs="Arial"/>
          <w:color w:val="008F51"/>
          <w:sz w:val="22"/>
          <w:szCs w:val="22"/>
        </w:rPr>
      </w:pPr>
    </w:p>
    <w:p w:rsidRPr="00BE2F58" w:rsidR="00142A2D" w:rsidP="00BE2F58" w:rsidRDefault="00F13B98" w14:paraId="27DB8D3A" w14:textId="6A3D2469">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284"/>
        <w:rPr>
          <w:rFonts w:ascii="Lato" w:hAnsi="Lato" w:cs="Arial"/>
          <w:b/>
          <w:bCs/>
          <w:color w:val="000000" w:themeColor="text1"/>
          <w:sz w:val="32"/>
          <w:szCs w:val="32"/>
        </w:rPr>
      </w:pPr>
      <w:r w:rsidRPr="00BE2F58">
        <w:rPr>
          <w:rFonts w:ascii="Lato" w:hAnsi="Lato" w:cs="Arial"/>
          <w:b/>
          <w:bCs/>
          <w:color w:val="000000" w:themeColor="text1"/>
          <w:sz w:val="32"/>
          <w:szCs w:val="32"/>
          <w:lang w:val="en-US"/>
        </w:rPr>
        <w:t>Identity verification</w:t>
      </w:r>
    </w:p>
    <w:p w:rsidRPr="00176238" w:rsidR="00142A2D" w:rsidP="00176238" w:rsidRDefault="00F13B98" w14:paraId="2CC5A1F8" w14:textId="0BE62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176238">
        <w:rPr>
          <w:rFonts w:ascii="Arial" w:hAnsi="Arial" w:cs="Arial"/>
          <w:lang w:val="en-US"/>
        </w:rPr>
        <w:t xml:space="preserve">Providing access to </w:t>
      </w:r>
      <w:r w:rsidRPr="00176238" w:rsidR="00CA00DD">
        <w:rPr>
          <w:rFonts w:ascii="Arial" w:hAnsi="Arial" w:cs="Arial"/>
          <w:lang w:val="en-US"/>
        </w:rPr>
        <w:t>GP Online Services</w:t>
      </w:r>
      <w:r w:rsidRPr="00176238">
        <w:rPr>
          <w:rFonts w:ascii="Arial" w:hAnsi="Arial" w:cs="Arial"/>
          <w:lang w:val="en-US"/>
        </w:rPr>
        <w:t xml:space="preserve"> demands a consistent and robust approach to ensure that the person applying for access to a patient’s </w:t>
      </w:r>
      <w:r w:rsidRPr="00176238" w:rsidR="00260AC3">
        <w:rPr>
          <w:rFonts w:ascii="Arial" w:hAnsi="Arial" w:cs="Arial"/>
          <w:lang w:val="en-US"/>
        </w:rPr>
        <w:t>services i</w:t>
      </w:r>
      <w:r w:rsidRPr="00176238">
        <w:rPr>
          <w:rFonts w:ascii="Arial" w:hAnsi="Arial" w:cs="Arial"/>
          <w:lang w:val="en-US"/>
        </w:rPr>
        <w:t>s the person that the record relates to.</w:t>
      </w:r>
    </w:p>
    <w:p w:rsidRPr="00176238" w:rsidR="00142A2D" w:rsidP="00733804" w:rsidRDefault="00F13B98" w14:paraId="34E36DE7" w14:textId="77777777">
      <w:pPr>
        <w:pStyle w:val="Default"/>
        <w:widowControl w:val="0"/>
        <w:spacing w:before="120" w:line="288" w:lineRule="auto"/>
        <w:ind w:right="276"/>
        <w:rPr>
          <w:rFonts w:ascii="Arial" w:hAnsi="Arial" w:cs="Arial"/>
          <w:u w:color="000000"/>
          <w:lang w:val="en-US"/>
        </w:rPr>
      </w:pPr>
      <w:r w:rsidRPr="00176238">
        <w:rPr>
          <w:rFonts w:ascii="Arial" w:hAnsi="Arial" w:cs="Arial"/>
          <w:u w:color="000000"/>
          <w:lang w:val="en-US"/>
        </w:rPr>
        <w:t>Patients may book an initial appointment online as soon as they have completed a simple online registration process but a stronger identity verification process is required before full access to appointments, repeat prescriptions or clinical records is switched on.</w:t>
      </w:r>
    </w:p>
    <w:p w:rsidRPr="00176238" w:rsidR="00142A2D" w:rsidP="00733804" w:rsidRDefault="00F13B98" w14:paraId="13FC0359" w14:textId="61139D11">
      <w:pPr>
        <w:pStyle w:val="Default"/>
        <w:widowControl w:val="0"/>
        <w:spacing w:before="120" w:line="288" w:lineRule="auto"/>
        <w:ind w:right="276"/>
        <w:rPr>
          <w:rFonts w:ascii="Arial" w:hAnsi="Arial" w:cs="Arial"/>
          <w:lang w:val="en-US"/>
        </w:rPr>
      </w:pPr>
      <w:r w:rsidRPr="00176238">
        <w:rPr>
          <w:rFonts w:ascii="Arial" w:hAnsi="Arial" w:cs="Arial"/>
          <w:lang w:val="en-US"/>
        </w:rPr>
        <w:t>Patients may use the NHS App to verify their identity but the practice can use any one of three methods that can give them certainty that the applicant is who they claim to be.</w:t>
      </w:r>
    </w:p>
    <w:p w:rsidRPr="00136540" w:rsidR="00142A2D" w:rsidP="00733804" w:rsidRDefault="00F13B98" w14:paraId="46192B4C" w14:textId="725E9847">
      <w:pPr>
        <w:pStyle w:val="Body"/>
        <w:numPr>
          <w:ilvl w:val="0"/>
          <w:numId w:val="5"/>
        </w:numPr>
        <w:spacing w:before="120" w:line="288" w:lineRule="auto"/>
        <w:rPr>
          <w:rFonts w:ascii="Arial" w:hAnsi="Arial" w:cs="Arial"/>
          <w:u w:color="000000"/>
          <w:lang w:val="en-US"/>
        </w:rPr>
      </w:pPr>
      <w:r w:rsidRPr="00136540">
        <w:rPr>
          <w:rFonts w:ascii="Arial" w:hAnsi="Arial" w:cs="Arial"/>
          <w:u w:color="000000"/>
          <w:lang w:val="en-US"/>
        </w:rPr>
        <w:t xml:space="preserve">Most patients can prove their identities by </w:t>
      </w:r>
      <w:r w:rsidR="00260AC3">
        <w:rPr>
          <w:rFonts w:ascii="Arial" w:hAnsi="Arial" w:cs="Arial"/>
          <w:u w:color="000000"/>
          <w:lang w:val="it-IT"/>
        </w:rPr>
        <w:t>providing</w:t>
      </w:r>
      <w:r w:rsidRPr="00136540">
        <w:rPr>
          <w:rFonts w:ascii="Arial" w:hAnsi="Arial" w:cs="Arial"/>
          <w:u w:color="000000"/>
        </w:rPr>
        <w:t> </w:t>
      </w:r>
      <w:r w:rsidRPr="00136540">
        <w:rPr>
          <w:rFonts w:ascii="Arial" w:hAnsi="Arial" w:cs="Arial"/>
          <w:b/>
          <w:bCs/>
          <w:u w:color="000000"/>
          <w:lang w:val="en-US"/>
        </w:rPr>
        <w:t>two forms of</w:t>
      </w:r>
      <w:r w:rsidRPr="00136540">
        <w:rPr>
          <w:rFonts w:ascii="Arial" w:hAnsi="Arial" w:cs="Arial"/>
          <w:b/>
          <w:bCs/>
          <w:u w:color="000000"/>
        </w:rPr>
        <w:t> </w:t>
      </w:r>
      <w:r w:rsidRPr="00136540">
        <w:rPr>
          <w:rFonts w:ascii="Arial" w:hAnsi="Arial" w:cs="Arial"/>
          <w:b/>
          <w:bCs/>
          <w:u w:color="000000"/>
          <w:lang w:val="en-US"/>
        </w:rPr>
        <w:t>documentary evidence:</w:t>
      </w:r>
      <w:r w:rsidR="00260AC3">
        <w:rPr>
          <w:rFonts w:ascii="Arial" w:hAnsi="Arial" w:cs="Arial"/>
          <w:b/>
          <w:bCs/>
          <w:u w:color="000000"/>
        </w:rPr>
        <w:t xml:space="preserve"> </w:t>
      </w:r>
      <w:r w:rsidRPr="00136540">
        <w:rPr>
          <w:rFonts w:ascii="Arial" w:hAnsi="Arial" w:cs="Arial"/>
          <w:u w:color="000000"/>
          <w:lang w:val="en-US"/>
        </w:rPr>
        <w:t xml:space="preserve">one must include a photo that clearly matches the patient and the other must confirm that the applicants address is the one that you have on your records. </w:t>
      </w:r>
      <w:r w:rsidR="00260AC3">
        <w:rPr>
          <w:rFonts w:ascii="Arial" w:hAnsi="Arial" w:cs="Arial"/>
          <w:u w:color="000000"/>
          <w:lang w:val="en-US"/>
        </w:rPr>
        <w:t xml:space="preserve"> </w:t>
      </w:r>
      <w:r w:rsidRPr="00136540">
        <w:rPr>
          <w:rFonts w:ascii="Arial" w:hAnsi="Arial" w:cs="Arial"/>
          <w:u w:color="000000"/>
          <w:lang w:val="en-US"/>
        </w:rPr>
        <w:t xml:space="preserve">Acceptable documents include passports or photo driving licences with photographs and documents bearing the address that are likely to have been posted to the patient such as a bank statement. </w:t>
      </w:r>
      <w:r w:rsidR="00260AC3">
        <w:rPr>
          <w:rFonts w:ascii="Arial" w:hAnsi="Arial" w:cs="Arial"/>
          <w:u w:color="000000"/>
          <w:lang w:val="en-US"/>
        </w:rPr>
        <w:t xml:space="preserve"> </w:t>
      </w:r>
      <w:r w:rsidRPr="00136540">
        <w:rPr>
          <w:rFonts w:ascii="Arial" w:hAnsi="Arial" w:cs="Arial"/>
          <w:u w:color="000000"/>
          <w:lang w:val="en-US"/>
        </w:rPr>
        <w:t xml:space="preserve">Bills </w:t>
      </w:r>
      <w:r w:rsidR="00260AC3">
        <w:rPr>
          <w:rFonts w:ascii="Arial" w:hAnsi="Arial" w:cs="Arial"/>
          <w:u w:color="000000"/>
          <w:lang w:val="en-US"/>
        </w:rPr>
        <w:t>do</w:t>
      </w:r>
      <w:r w:rsidRPr="00136540">
        <w:rPr>
          <w:rFonts w:ascii="Arial" w:hAnsi="Arial" w:cs="Arial"/>
          <w:u w:color="000000"/>
          <w:lang w:val="en-US"/>
        </w:rPr>
        <w:t xml:space="preserve"> not </w:t>
      </w:r>
      <w:r w:rsidR="00260AC3">
        <w:rPr>
          <w:rFonts w:ascii="Arial" w:hAnsi="Arial" w:cs="Arial"/>
          <w:u w:color="000000"/>
          <w:lang w:val="en-US"/>
        </w:rPr>
        <w:t>usually satisfy</w:t>
      </w:r>
      <w:r w:rsidRPr="00136540">
        <w:rPr>
          <w:rFonts w:ascii="Arial" w:hAnsi="Arial" w:cs="Arial"/>
          <w:u w:color="000000"/>
          <w:lang w:val="en-US"/>
        </w:rPr>
        <w:t xml:space="preserve"> </w:t>
      </w:r>
      <w:r w:rsidRPr="00136540" w:rsidR="00260AC3">
        <w:rPr>
          <w:rFonts w:ascii="Arial" w:hAnsi="Arial" w:cs="Arial"/>
          <w:u w:color="000000"/>
          <w:lang w:val="en-US"/>
        </w:rPr>
        <w:t>this criterion</w:t>
      </w:r>
      <w:r w:rsidRPr="00136540">
        <w:rPr>
          <w:rFonts w:ascii="Arial" w:hAnsi="Arial" w:cs="Arial"/>
          <w:u w:color="000000"/>
          <w:lang w:val="en-US"/>
        </w:rPr>
        <w:t xml:space="preserve">. </w:t>
      </w:r>
      <w:r w:rsidR="00260AC3">
        <w:rPr>
          <w:rFonts w:ascii="Arial" w:hAnsi="Arial" w:cs="Arial"/>
          <w:u w:color="000000"/>
          <w:lang w:val="en-US"/>
        </w:rPr>
        <w:t xml:space="preserve"> </w:t>
      </w:r>
      <w:r w:rsidRPr="00136540">
        <w:rPr>
          <w:rFonts w:ascii="Arial" w:hAnsi="Arial" w:cs="Arial"/>
          <w:u w:color="000000"/>
          <w:lang w:val="en-US"/>
        </w:rPr>
        <w:t>A full list of acceptable documents is published by the Cabinet Office (see further reading).</w:t>
      </w:r>
    </w:p>
    <w:p w:rsidRPr="00136540" w:rsidR="00142A2D" w:rsidP="00733804" w:rsidRDefault="00F13B98" w14:paraId="4E9EE4C4" w14:textId="1C3C56B7">
      <w:pPr>
        <w:pStyle w:val="Body"/>
        <w:numPr>
          <w:ilvl w:val="0"/>
          <w:numId w:val="5"/>
        </w:numPr>
        <w:spacing w:before="120" w:line="288" w:lineRule="auto"/>
        <w:rPr>
          <w:rFonts w:ascii="Arial" w:hAnsi="Arial" w:cs="Arial"/>
          <w:lang w:val="en-US"/>
        </w:rPr>
      </w:pPr>
      <w:r w:rsidRPr="2E2BB128">
        <w:rPr>
          <w:rFonts w:ascii="Arial" w:hAnsi="Arial" w:cs="Arial"/>
          <w:lang w:val="en-US"/>
        </w:rPr>
        <w:t>There will always be some patients (</w:t>
      </w:r>
      <w:r w:rsidRPr="2E2BB128" w:rsidR="00873819">
        <w:rPr>
          <w:rFonts w:ascii="Arial" w:hAnsi="Arial" w:cs="Arial"/>
          <w:lang w:val="en-US"/>
        </w:rPr>
        <w:t>e.g.,</w:t>
      </w:r>
      <w:r w:rsidRPr="2E2BB128">
        <w:rPr>
          <w:rFonts w:ascii="Arial" w:hAnsi="Arial" w:cs="Arial"/>
          <w:lang w:val="en-US"/>
        </w:rPr>
        <w:t xml:space="preserve"> temporary residents, travellers or young people living with their parents) who do not have acceptable identity evidence. </w:t>
      </w:r>
      <w:r w:rsidRPr="2E2BB128" w:rsidR="00260AC3">
        <w:rPr>
          <w:rFonts w:ascii="Arial" w:hAnsi="Arial" w:cs="Arial"/>
          <w:lang w:val="en-US"/>
        </w:rPr>
        <w:t xml:space="preserve"> </w:t>
      </w:r>
      <w:r w:rsidRPr="2E2BB128">
        <w:rPr>
          <w:rFonts w:ascii="Arial" w:hAnsi="Arial" w:cs="Arial"/>
          <w:lang w:val="en-US"/>
        </w:rPr>
        <w:t>In these cases, an authorised member of staff, who knows the patient well enough to verify that they are who they say they are, and that no deception is taking place, may be able to </w:t>
      </w:r>
      <w:r w:rsidRPr="2E2BB128">
        <w:rPr>
          <w:rFonts w:ascii="Arial" w:hAnsi="Arial" w:cs="Arial"/>
          <w:b/>
          <w:bCs/>
          <w:lang w:val="en-US"/>
        </w:rPr>
        <w:t>vouch for their identity</w:t>
      </w:r>
      <w:r w:rsidRPr="2E2BB128">
        <w:rPr>
          <w:rFonts w:ascii="Arial" w:hAnsi="Arial" w:cs="Arial"/>
          <w:lang w:val="en-US"/>
        </w:rPr>
        <w:t xml:space="preserve">. Practices must judge each patient application on a case-by-case basis while ensuring that the agreed policy </w:t>
      </w:r>
      <w:proofErr w:type="gramStart"/>
      <w:r w:rsidRPr="2E2BB128">
        <w:rPr>
          <w:rFonts w:ascii="Arial" w:hAnsi="Arial" w:cs="Arial"/>
          <w:lang w:val="en-US"/>
        </w:rPr>
        <w:t>takes into account</w:t>
      </w:r>
      <w:proofErr w:type="gramEnd"/>
      <w:r w:rsidRPr="2E2BB128">
        <w:rPr>
          <w:rFonts w:ascii="Arial" w:hAnsi="Arial" w:cs="Arial"/>
          <w:lang w:val="en-US"/>
        </w:rPr>
        <w:t xml:space="preserve"> the duration of registration and frequency of patient contact</w:t>
      </w:r>
    </w:p>
    <w:p w:rsidR="00324CFE" w:rsidP="00324CFE" w:rsidRDefault="00F13B98" w14:paraId="5DEFE892" w14:textId="77777777">
      <w:pPr>
        <w:pStyle w:val="Body"/>
        <w:numPr>
          <w:ilvl w:val="0"/>
          <w:numId w:val="5"/>
        </w:numPr>
        <w:spacing w:before="120" w:line="288" w:lineRule="auto"/>
        <w:rPr>
          <w:rFonts w:ascii="Arial" w:hAnsi="Arial" w:cs="Arial"/>
          <w:u w:color="000000"/>
          <w:lang w:val="en-US"/>
        </w:rPr>
      </w:pPr>
      <w:r w:rsidRPr="00136540">
        <w:rPr>
          <w:rFonts w:ascii="Arial" w:hAnsi="Arial" w:cs="Arial"/>
          <w:u w:color="000000"/>
          <w:lang w:val="en-US"/>
        </w:rPr>
        <w:lastRenderedPageBreak/>
        <w:t>If neither of these two methods of verification are possible, consider</w:t>
      </w:r>
      <w:r w:rsidR="00260AC3">
        <w:rPr>
          <w:rFonts w:ascii="Arial" w:hAnsi="Arial" w:cs="Arial"/>
          <w:u w:color="000000"/>
          <w:lang w:val="en-US"/>
        </w:rPr>
        <w:t xml:space="preserve"> </w:t>
      </w:r>
      <w:r w:rsidRPr="00136540">
        <w:rPr>
          <w:rFonts w:ascii="Arial" w:hAnsi="Arial" w:cs="Arial"/>
          <w:b/>
          <w:bCs/>
          <w:u w:color="000000"/>
          <w:lang w:val="en-US"/>
        </w:rPr>
        <w:t>using information in the patient’s health record</w:t>
      </w:r>
      <w:r w:rsidR="00260AC3">
        <w:rPr>
          <w:rFonts w:ascii="Arial" w:hAnsi="Arial" w:cs="Arial"/>
          <w:b/>
          <w:bCs/>
          <w:u w:color="000000"/>
          <w:lang w:val="en-US"/>
        </w:rPr>
        <w:t xml:space="preserve"> </w:t>
      </w:r>
      <w:r w:rsidRPr="00136540">
        <w:rPr>
          <w:rFonts w:ascii="Arial" w:hAnsi="Arial" w:cs="Arial"/>
          <w:u w:color="000000"/>
          <w:lang w:val="en-US"/>
        </w:rPr>
        <w:t xml:space="preserve">to verify the identity of the applicant. A trained member of staff may be able to satisfy themselves of the applicant’s identity by obtaining responses to questions from information held in the medical records. </w:t>
      </w:r>
      <w:r w:rsidR="00260AC3">
        <w:rPr>
          <w:rFonts w:ascii="Arial" w:hAnsi="Arial" w:cs="Arial"/>
          <w:u w:color="000000"/>
          <w:lang w:val="en-US"/>
        </w:rPr>
        <w:t xml:space="preserve"> </w:t>
      </w:r>
      <w:r w:rsidRPr="00136540">
        <w:rPr>
          <w:rFonts w:ascii="Arial" w:hAnsi="Arial" w:cs="Arial"/>
          <w:u w:color="000000"/>
          <w:lang w:val="en-US"/>
        </w:rPr>
        <w:t>This should take place discreetly and ideally in a planned appointment. It is extremely important that the questions posed do not incidentally disclose confidential information to the applicant before their identity is verified.</w:t>
      </w:r>
    </w:p>
    <w:p w:rsidRPr="00324CFE" w:rsidR="00142A2D" w:rsidP="00324CFE" w:rsidRDefault="00645E78" w14:paraId="62A57407" w14:textId="61B0FD3D">
      <w:pPr>
        <w:pStyle w:val="Body"/>
        <w:tabs>
          <w:tab w:val="left" w:pos="720"/>
        </w:tabs>
        <w:spacing w:before="120" w:line="288" w:lineRule="auto"/>
        <w:ind w:left="567"/>
        <w:rPr>
          <w:rFonts w:ascii="Arial" w:hAnsi="Arial" w:cs="Arial"/>
          <w:u w:color="000000"/>
          <w:lang w:val="en-US"/>
        </w:rPr>
      </w:pPr>
      <w:r w:rsidRPr="00324CFE">
        <w:rPr>
          <w:rFonts w:ascii="Webdings" w:hAnsi="Webdings" w:eastAsia="Calibri" w:cs="Arial"/>
          <w:color w:val="auto"/>
        </w:rPr>
        <w:t>i</w:t>
      </w:r>
      <w:r w:rsidRPr="00324CFE">
        <w:rPr>
          <w:rFonts w:ascii="Arial" w:hAnsi="Arial" w:cs="Arial"/>
          <w:color w:val="auto"/>
          <w:u w:color="000000"/>
          <w:lang w:val="en-US"/>
        </w:rPr>
        <w:t xml:space="preserve"> </w:t>
      </w:r>
      <w:r w:rsidRPr="00324CFE" w:rsidR="00F13B98">
        <w:rPr>
          <w:rFonts w:ascii="Arial" w:hAnsi="Arial" w:cs="Arial"/>
          <w:color w:val="auto"/>
          <w:u w:color="000000"/>
          <w:lang w:val="en-US"/>
        </w:rPr>
        <w:t xml:space="preserve">There is more information about this in the </w:t>
      </w:r>
      <w:r w:rsidRPr="00324CFE" w:rsidR="003947E8">
        <w:rPr>
          <w:rFonts w:ascii="Arial" w:hAnsi="Arial" w:cs="Arial"/>
          <w:color w:val="auto"/>
          <w:u w:color="000000"/>
          <w:lang w:val="en-US"/>
        </w:rPr>
        <w:t>“</w:t>
      </w:r>
      <w:r w:rsidRPr="00324CFE" w:rsidR="00F13B98">
        <w:rPr>
          <w:rFonts w:ascii="Arial" w:hAnsi="Arial" w:cs="Arial"/>
          <w:color w:val="auto"/>
          <w:u w:color="000000"/>
          <w:lang w:val="en-US"/>
        </w:rPr>
        <w:t>Identity Verification</w:t>
      </w:r>
      <w:r w:rsidRPr="00324CFE" w:rsidR="003947E8">
        <w:rPr>
          <w:rFonts w:ascii="Arial" w:hAnsi="Arial" w:cs="Arial"/>
          <w:color w:val="auto"/>
          <w:u w:color="000000"/>
          <w:lang w:val="en-US"/>
        </w:rPr>
        <w:t>”</w:t>
      </w:r>
      <w:r w:rsidRPr="00324CFE" w:rsidR="00F13B98">
        <w:rPr>
          <w:rFonts w:ascii="Arial" w:hAnsi="Arial" w:cs="Arial"/>
          <w:color w:val="auto"/>
          <w:u w:color="000000"/>
          <w:lang w:val="en-US"/>
        </w:rPr>
        <w:t xml:space="preserve"> guidance in the Toolkit.</w:t>
      </w:r>
    </w:p>
    <w:p w:rsidRPr="00136540" w:rsidR="004D6EB3" w:rsidP="00733804" w:rsidRDefault="004D6EB3" w14:paraId="5908E6C9"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sz w:val="24"/>
          <w:szCs w:val="24"/>
        </w:rPr>
      </w:pPr>
    </w:p>
    <w:p w:rsidRPr="00BE2F58" w:rsidR="00142A2D" w:rsidP="00BE2F58" w:rsidRDefault="00F13B98" w14:paraId="2A55EF8B" w14:textId="3D300045">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284"/>
        <w:rPr>
          <w:rFonts w:ascii="Lato" w:hAnsi="Lato" w:cs="Arial"/>
          <w:b/>
          <w:bCs/>
          <w:color w:val="000000" w:themeColor="text1"/>
          <w:sz w:val="32"/>
          <w:szCs w:val="32"/>
        </w:rPr>
      </w:pPr>
      <w:r w:rsidRPr="00BE2F58">
        <w:rPr>
          <w:rFonts w:ascii="Lato" w:hAnsi="Lato" w:cs="Arial"/>
          <w:b/>
          <w:bCs/>
          <w:color w:val="000000" w:themeColor="text1"/>
          <w:sz w:val="32"/>
          <w:szCs w:val="32"/>
          <w:lang w:val="en-US"/>
        </w:rPr>
        <w:t>Clinical assurance of the record</w:t>
      </w:r>
    </w:p>
    <w:p w:rsidRPr="00176238" w:rsidR="00357C5D" w:rsidP="00733804" w:rsidRDefault="002E56A9" w14:paraId="0329ECC4" w14:textId="1C9551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lang w:val="en-US"/>
        </w:rPr>
      </w:pPr>
      <w:r>
        <w:rPr>
          <w:rFonts w:ascii="Arial" w:hAnsi="Arial" w:cs="Arial"/>
          <w:lang w:val="en-US"/>
        </w:rPr>
        <w:t xml:space="preserve">Clinical assurance of the record </w:t>
      </w:r>
      <w:r w:rsidRPr="00176238">
        <w:rPr>
          <w:rFonts w:ascii="Arial" w:hAnsi="Arial" w:cs="Arial"/>
          <w:lang w:val="en-US"/>
        </w:rPr>
        <w:t>is an essential process to complete before record access is switched on by the practice</w:t>
      </w:r>
      <w:r>
        <w:rPr>
          <w:rFonts w:ascii="Arial" w:hAnsi="Arial" w:cs="Arial"/>
          <w:lang w:val="en-US"/>
        </w:rPr>
        <w:t xml:space="preserve"> or automatically. </w:t>
      </w:r>
      <w:r w:rsidRPr="00176238">
        <w:rPr>
          <w:rFonts w:ascii="Arial" w:hAnsi="Arial" w:cs="Arial"/>
          <w:lang w:val="en-US"/>
        </w:rPr>
        <w:t xml:space="preserve"> </w:t>
      </w:r>
      <w:r>
        <w:rPr>
          <w:rFonts w:ascii="Arial" w:hAnsi="Arial" w:cs="Arial"/>
          <w:lang w:val="en-US"/>
        </w:rPr>
        <w:t xml:space="preserve">It </w:t>
      </w:r>
      <w:r w:rsidRPr="00176238" w:rsidR="00357C5D">
        <w:rPr>
          <w:rFonts w:ascii="Arial" w:hAnsi="Arial" w:cs="Arial"/>
          <w:lang w:val="en-US"/>
        </w:rPr>
        <w:t>serve</w:t>
      </w:r>
      <w:r>
        <w:rPr>
          <w:rFonts w:ascii="Arial" w:hAnsi="Arial" w:cs="Arial"/>
          <w:lang w:val="en-US"/>
        </w:rPr>
        <w:t xml:space="preserve">s </w:t>
      </w:r>
      <w:r w:rsidRPr="00176238" w:rsidR="00357C5D">
        <w:rPr>
          <w:rFonts w:ascii="Arial" w:hAnsi="Arial" w:cs="Arial"/>
          <w:lang w:val="en-US"/>
        </w:rPr>
        <w:t xml:space="preserve">two purposes: </w:t>
      </w:r>
    </w:p>
    <w:p w:rsidRPr="00923EB1" w:rsidR="00557433" w:rsidP="00F923D1" w:rsidRDefault="002E56A9" w14:paraId="0123F69C" w14:textId="2777F03E">
      <w:pPr>
        <w:pStyle w:val="Default"/>
        <w:numPr>
          <w:ilvl w:val="0"/>
          <w:numId w:val="26"/>
        </w:num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Pr>
          <w:rFonts w:ascii="Arial" w:hAnsi="Arial" w:cs="Arial"/>
          <w:lang w:val="en-US"/>
        </w:rPr>
        <w:t xml:space="preserve">If the patient has applied for access to historical records or has given consent for a trusted third-party to have proxy access.  It involves </w:t>
      </w:r>
      <w:r w:rsidRPr="00923EB1" w:rsidR="623FEBDF">
        <w:rPr>
          <w:rFonts w:ascii="Arial" w:hAnsi="Arial" w:cs="Arial"/>
          <w:lang w:val="en-US"/>
        </w:rPr>
        <w:t>screen</w:t>
      </w:r>
      <w:r>
        <w:rPr>
          <w:rFonts w:ascii="Arial" w:hAnsi="Arial" w:cs="Arial"/>
          <w:lang w:val="en-US"/>
        </w:rPr>
        <w:t>ing</w:t>
      </w:r>
      <w:r w:rsidRPr="00923EB1" w:rsidR="623FEBDF">
        <w:rPr>
          <w:rFonts w:ascii="Arial" w:hAnsi="Arial" w:cs="Arial"/>
          <w:lang w:val="en-US"/>
        </w:rPr>
        <w:t xml:space="preserve"> the </w:t>
      </w:r>
      <w:r w:rsidRPr="00923EB1" w:rsidR="48FB537A">
        <w:rPr>
          <w:rFonts w:ascii="Arial" w:hAnsi="Arial" w:cs="Arial"/>
          <w:lang w:val="en-US"/>
        </w:rPr>
        <w:t xml:space="preserve">past </w:t>
      </w:r>
      <w:r w:rsidRPr="00923EB1" w:rsidR="623FEBDF">
        <w:rPr>
          <w:rFonts w:ascii="Arial" w:hAnsi="Arial" w:cs="Arial"/>
          <w:lang w:val="en-US"/>
        </w:rPr>
        <w:t xml:space="preserve">record </w:t>
      </w:r>
      <w:r>
        <w:rPr>
          <w:rFonts w:ascii="Arial" w:hAnsi="Arial" w:cs="Arial"/>
          <w:lang w:val="en-US"/>
        </w:rPr>
        <w:t>t</w:t>
      </w:r>
      <w:r w:rsidRPr="00923EB1" w:rsidR="623FEBDF">
        <w:rPr>
          <w:rFonts w:ascii="Arial" w:hAnsi="Arial" w:cs="Arial"/>
          <w:lang w:val="en-US"/>
        </w:rPr>
        <w:t>o</w:t>
      </w:r>
      <w:r w:rsidRPr="00923EB1" w:rsidR="7E69FEA4">
        <w:rPr>
          <w:rFonts w:ascii="Arial" w:hAnsi="Arial" w:cs="Arial"/>
          <w:lang w:val="en-US"/>
        </w:rPr>
        <w:t xml:space="preserve"> ensure that the patient </w:t>
      </w:r>
      <w:r>
        <w:rPr>
          <w:rFonts w:ascii="Arial" w:hAnsi="Arial" w:cs="Arial"/>
          <w:lang w:val="en-US"/>
        </w:rPr>
        <w:t>or the proxy cannot see information</w:t>
      </w:r>
      <w:r w:rsidRPr="00923EB1" w:rsidR="7E69FEA4">
        <w:rPr>
          <w:rFonts w:ascii="Arial" w:hAnsi="Arial" w:cs="Arial"/>
          <w:lang w:val="en-US"/>
        </w:rPr>
        <w:t xml:space="preserve"> that may cause them harm or reveal confidential information</w:t>
      </w:r>
      <w:r w:rsidRPr="00923EB1" w:rsidR="7E69FEA4">
        <w:rPr>
          <w:rFonts w:ascii="Arial" w:hAnsi="Arial" w:cs="Arial"/>
        </w:rPr>
        <w:t xml:space="preserve"> </w:t>
      </w:r>
      <w:r w:rsidRPr="00923EB1" w:rsidR="7E69FEA4">
        <w:rPr>
          <w:rFonts w:ascii="Arial" w:hAnsi="Arial" w:cs="Arial"/>
          <w:lang w:val="en-US"/>
        </w:rPr>
        <w:t>relating to a third person, which they have no right to see</w:t>
      </w:r>
      <w:r>
        <w:rPr>
          <w:rFonts w:ascii="Arial" w:hAnsi="Arial" w:cs="Arial"/>
          <w:lang w:val="en-US"/>
        </w:rPr>
        <w:t>.  Such information may be redacted.  If this is not possible, it may be necessary to refuse access to the historical record</w:t>
      </w:r>
      <w:r w:rsidRPr="00923EB1" w:rsidR="48FB537A">
        <w:rPr>
          <w:rFonts w:ascii="Arial" w:hAnsi="Arial" w:cs="Arial"/>
        </w:rPr>
        <w:t>.</w:t>
      </w:r>
    </w:p>
    <w:p w:rsidRPr="00923EB1" w:rsidR="008D42DF" w:rsidP="00771508" w:rsidRDefault="002E56A9" w14:paraId="3167CC60" w14:textId="40509223">
      <w:pPr>
        <w:pStyle w:val="Default"/>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spacing w:before="120" w:line="288" w:lineRule="auto"/>
        <w:rPr>
          <w:rFonts w:ascii="Arial" w:hAnsi="Arial" w:cs="Arial"/>
        </w:rPr>
      </w:pPr>
      <w:r>
        <w:rPr>
          <w:rFonts w:ascii="Arial" w:hAnsi="Arial" w:cs="Arial"/>
        </w:rPr>
        <w:t>Before automatic record access is switched on it is helpful to</w:t>
      </w:r>
      <w:r w:rsidRPr="00923EB1" w:rsidR="623FEBDF">
        <w:rPr>
          <w:rFonts w:ascii="Arial" w:hAnsi="Arial" w:cs="Arial"/>
        </w:rPr>
        <w:t xml:space="preserve"> </w:t>
      </w:r>
      <w:r w:rsidRPr="00923EB1" w:rsidR="48FB537A">
        <w:rPr>
          <w:rFonts w:ascii="Arial" w:hAnsi="Arial" w:cs="Arial"/>
        </w:rPr>
        <w:t xml:space="preserve">screen </w:t>
      </w:r>
      <w:r w:rsidR="009C50D6">
        <w:rPr>
          <w:rFonts w:ascii="Arial" w:hAnsi="Arial" w:cs="Arial"/>
        </w:rPr>
        <w:t xml:space="preserve">the records of all patients who are eligible for automatic record access </w:t>
      </w:r>
      <w:r w:rsidRPr="00923EB1" w:rsidR="48FB537A">
        <w:rPr>
          <w:rFonts w:ascii="Arial" w:hAnsi="Arial" w:cs="Arial"/>
        </w:rPr>
        <w:t>for evidence of anything that puts the patient at risk from online record access such as a safeguarding risk, serious mental health problem</w:t>
      </w:r>
      <w:r w:rsidR="009C50D6">
        <w:rPr>
          <w:rFonts w:ascii="Arial" w:hAnsi="Arial" w:cs="Arial"/>
        </w:rPr>
        <w:t>, substance misuse</w:t>
      </w:r>
      <w:r w:rsidRPr="00923EB1" w:rsidR="48FB537A">
        <w:rPr>
          <w:rFonts w:ascii="Arial" w:hAnsi="Arial" w:cs="Arial"/>
        </w:rPr>
        <w:t xml:space="preserve"> or impaired intellectual capacity.  </w:t>
      </w:r>
      <w:r w:rsidR="009C50D6">
        <w:rPr>
          <w:rFonts w:ascii="Arial" w:hAnsi="Arial" w:cs="Arial"/>
        </w:rPr>
        <w:t xml:space="preserve">Patients identified in the audit may then by assessed individually to determine whether the risk is significant.  Where possible this assessment should include a confidential discussion with the patient </w:t>
      </w:r>
      <w:r w:rsidRPr="00923EB1" w:rsidR="3FD7A5D6">
        <w:rPr>
          <w:rFonts w:ascii="Arial" w:hAnsi="Arial" w:cs="Arial"/>
        </w:rPr>
        <w:t>(see the section on automatic record access above)</w:t>
      </w:r>
    </w:p>
    <w:p w:rsidRPr="00923EB1" w:rsidR="00142A2D" w:rsidP="00733804" w:rsidRDefault="23AF4FDE" w14:paraId="3DD38216" w14:textId="751C58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923EB1">
        <w:rPr>
          <w:rFonts w:ascii="Arial" w:hAnsi="Arial" w:cs="Arial"/>
          <w:lang w:val="en-US"/>
        </w:rPr>
        <w:t xml:space="preserve">It can be useful to follow the same process of screening the record for potentially harmful information or safeguarding risk </w:t>
      </w:r>
      <w:r w:rsidRPr="00923EB1" w:rsidR="059A1892">
        <w:rPr>
          <w:rFonts w:ascii="Arial" w:hAnsi="Arial" w:cs="Arial"/>
          <w:lang w:val="en-US"/>
        </w:rPr>
        <w:t xml:space="preserve">for new patients </w:t>
      </w:r>
      <w:r w:rsidRPr="00923EB1" w:rsidR="67FB0247">
        <w:rPr>
          <w:rFonts w:ascii="Arial" w:hAnsi="Arial" w:cs="Arial"/>
          <w:lang w:val="en-US"/>
        </w:rPr>
        <w:t>joining the practice</w:t>
      </w:r>
      <w:r w:rsidRPr="00923EB1" w:rsidR="5BE24F13">
        <w:rPr>
          <w:rFonts w:ascii="Arial" w:hAnsi="Arial" w:cs="Arial"/>
          <w:lang w:val="en-US"/>
        </w:rPr>
        <w:t xml:space="preserve"> because redaction flags put in place by previous practices are not currently transferred by GP2GP</w:t>
      </w:r>
      <w:r w:rsidRPr="00923EB1" w:rsidR="381465CC">
        <w:rPr>
          <w:rFonts w:ascii="Arial" w:hAnsi="Arial" w:cs="Arial"/>
          <w:lang w:val="en-US"/>
        </w:rPr>
        <w:t xml:space="preserve"> and the need to redact future information </w:t>
      </w:r>
      <w:r w:rsidRPr="00923EB1" w:rsidR="3FD7A5D6">
        <w:rPr>
          <w:rFonts w:ascii="Arial" w:hAnsi="Arial" w:cs="Arial"/>
          <w:lang w:val="en-US"/>
        </w:rPr>
        <w:t xml:space="preserve">or refuse online record access </w:t>
      </w:r>
      <w:r w:rsidRPr="00923EB1" w:rsidR="381465CC">
        <w:rPr>
          <w:rFonts w:ascii="Arial" w:hAnsi="Arial" w:cs="Arial"/>
          <w:lang w:val="en-US"/>
        </w:rPr>
        <w:t>may not be apparent.</w:t>
      </w:r>
    </w:p>
    <w:p w:rsidRPr="00923EB1" w:rsidR="00142A2D" w:rsidP="00733804" w:rsidRDefault="7354A6D2" w14:paraId="76325F01" w14:textId="5B76F5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923EB1">
        <w:rPr>
          <w:rFonts w:ascii="Arial" w:hAnsi="Arial" w:cs="Arial"/>
          <w:lang w:val="en-US"/>
        </w:rPr>
        <w:t xml:space="preserve">Clinical assurance of large records can be </w:t>
      </w:r>
      <w:r w:rsidRPr="00923EB1" w:rsidR="059A1892">
        <w:rPr>
          <w:rFonts w:ascii="Arial" w:hAnsi="Arial" w:cs="Arial"/>
          <w:lang w:val="en-US"/>
        </w:rPr>
        <w:t>time-consuming</w:t>
      </w:r>
      <w:r w:rsidRPr="00923EB1">
        <w:rPr>
          <w:rFonts w:ascii="Arial" w:hAnsi="Arial" w:cs="Arial"/>
          <w:lang w:val="en-US"/>
        </w:rPr>
        <w:t>. There is commercial software that can speed up the process by searching</w:t>
      </w:r>
      <w:r w:rsidRPr="00923EB1">
        <w:rPr>
          <w:rFonts w:ascii="Arial" w:hAnsi="Arial" w:cs="Arial"/>
        </w:rPr>
        <w:t xml:space="preserve"> </w:t>
      </w:r>
      <w:r w:rsidRPr="00923EB1">
        <w:rPr>
          <w:rFonts w:ascii="Arial" w:hAnsi="Arial" w:cs="Arial"/>
          <w:lang w:val="en-US"/>
        </w:rPr>
        <w:t xml:space="preserve">the record, including scanned documents, for potentially </w:t>
      </w:r>
      <w:r w:rsidRPr="00923EB1" w:rsidR="61AB84C3">
        <w:rPr>
          <w:rFonts w:ascii="Arial" w:hAnsi="Arial" w:cs="Arial"/>
          <w:lang w:val="en-US"/>
        </w:rPr>
        <w:t>harmful</w:t>
      </w:r>
      <w:r w:rsidRPr="00923EB1">
        <w:rPr>
          <w:rFonts w:ascii="Arial" w:hAnsi="Arial" w:cs="Arial"/>
          <w:lang w:val="en-US"/>
        </w:rPr>
        <w:t xml:space="preserve"> codes and text. </w:t>
      </w:r>
      <w:r w:rsidRPr="00923EB1" w:rsidR="3FD7A5D6">
        <w:rPr>
          <w:rFonts w:ascii="Arial" w:hAnsi="Arial" w:cs="Arial"/>
          <w:lang w:val="en-US"/>
        </w:rPr>
        <w:t xml:space="preserve"> </w:t>
      </w:r>
      <w:r w:rsidRPr="00923EB1">
        <w:rPr>
          <w:rFonts w:ascii="Arial" w:hAnsi="Arial" w:cs="Arial"/>
          <w:lang w:val="en-US"/>
        </w:rPr>
        <w:t xml:space="preserve">A trained medical </w:t>
      </w:r>
      <w:proofErr w:type="spellStart"/>
      <w:r w:rsidRPr="00923EB1">
        <w:rPr>
          <w:rFonts w:ascii="Arial" w:hAnsi="Arial" w:cs="Arial"/>
          <w:lang w:val="en-US"/>
        </w:rPr>
        <w:t>summariser</w:t>
      </w:r>
      <w:proofErr w:type="spellEnd"/>
      <w:r w:rsidRPr="00923EB1">
        <w:rPr>
          <w:rFonts w:ascii="Arial" w:hAnsi="Arial" w:cs="Arial"/>
          <w:lang w:val="en-US"/>
        </w:rPr>
        <w:t xml:space="preserve"> can also help to check the records and redact clearly </w:t>
      </w:r>
      <w:r w:rsidRPr="00923EB1" w:rsidR="059A1892">
        <w:rPr>
          <w:rFonts w:ascii="Arial" w:hAnsi="Arial" w:cs="Arial"/>
          <w:lang w:val="en-US"/>
        </w:rPr>
        <w:t>potentially harmful</w:t>
      </w:r>
      <w:r w:rsidRPr="00923EB1">
        <w:rPr>
          <w:rFonts w:ascii="Arial" w:hAnsi="Arial" w:cs="Arial"/>
          <w:lang w:val="en-US"/>
        </w:rPr>
        <w:t xml:space="preserve"> data but the final </w:t>
      </w:r>
      <w:r w:rsidRPr="00923EB1">
        <w:rPr>
          <w:rFonts w:ascii="Arial" w:hAnsi="Arial" w:cs="Arial"/>
          <w:lang w:val="it-IT"/>
        </w:rPr>
        <w:t>decision</w:t>
      </w:r>
      <w:r w:rsidRPr="00923EB1">
        <w:rPr>
          <w:rFonts w:ascii="Arial" w:hAnsi="Arial" w:cs="Arial"/>
          <w:lang w:val="en-US"/>
        </w:rPr>
        <w:t xml:space="preserve"> on redaction and refusal or restriction of record access</w:t>
      </w:r>
      <w:r w:rsidRPr="00923EB1">
        <w:rPr>
          <w:rFonts w:ascii="Arial" w:hAnsi="Arial" w:cs="Arial"/>
        </w:rPr>
        <w:t xml:space="preserve"> </w:t>
      </w:r>
      <w:r w:rsidRPr="00923EB1">
        <w:rPr>
          <w:rFonts w:ascii="Arial" w:hAnsi="Arial" w:cs="Arial"/>
          <w:lang w:val="en-US"/>
        </w:rPr>
        <w:t xml:space="preserve">if </w:t>
      </w:r>
      <w:r w:rsidRPr="00923EB1" w:rsidR="059A1892">
        <w:rPr>
          <w:rFonts w:ascii="Arial" w:hAnsi="Arial" w:cs="Arial"/>
          <w:lang w:val="en-US"/>
        </w:rPr>
        <w:t>potentially harmful</w:t>
      </w:r>
      <w:r w:rsidRPr="00923EB1">
        <w:rPr>
          <w:rFonts w:ascii="Arial" w:hAnsi="Arial" w:cs="Arial"/>
          <w:lang w:val="en-US"/>
        </w:rPr>
        <w:t xml:space="preserve"> data cannot be redacted should lie with </w:t>
      </w:r>
      <w:r w:rsidRPr="00923EB1">
        <w:rPr>
          <w:rFonts w:ascii="Arial" w:hAnsi="Arial" w:cs="Arial"/>
          <w:lang w:val="pt-PT"/>
        </w:rPr>
        <w:t>a senior clinician</w:t>
      </w:r>
      <w:r w:rsidRPr="00923EB1">
        <w:rPr>
          <w:rFonts w:ascii="Arial" w:hAnsi="Arial" w:cs="Arial"/>
          <w:lang w:val="en-US"/>
        </w:rPr>
        <w:t>.</w:t>
      </w:r>
    </w:p>
    <w:p w:rsidRPr="00645E78" w:rsidR="00142A2D" w:rsidP="00324CFE" w:rsidRDefault="00645E78" w14:paraId="5451F066" w14:textId="2D87A24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66"/>
        <w:rPr>
          <w:rFonts w:ascii="Arial" w:hAnsi="Arial" w:cs="Arial"/>
          <w:color w:val="auto"/>
        </w:rPr>
      </w:pPr>
      <w:r w:rsidRPr="00645E78">
        <w:rPr>
          <w:rFonts w:ascii="Webdings" w:hAnsi="Webdings" w:eastAsia="Calibri" w:cs="Arial"/>
          <w:color w:val="auto"/>
        </w:rPr>
        <w:t>i</w:t>
      </w:r>
      <w:r w:rsidRPr="00645E78">
        <w:rPr>
          <w:rFonts w:ascii="Arial" w:hAnsi="Arial" w:cs="Arial"/>
          <w:color w:val="auto"/>
          <w:lang w:val="en-US"/>
        </w:rPr>
        <w:t xml:space="preserve"> </w:t>
      </w:r>
      <w:r w:rsidRPr="00645E78" w:rsidR="7354A6D2">
        <w:rPr>
          <w:rFonts w:ascii="Arial" w:hAnsi="Arial" w:cs="Arial"/>
          <w:color w:val="auto"/>
          <w:lang w:val="en-US"/>
        </w:rPr>
        <w:t xml:space="preserve">There is more information about clinical assurance </w:t>
      </w:r>
      <w:r w:rsidRPr="00645E78" w:rsidR="009C50D6">
        <w:rPr>
          <w:rFonts w:ascii="Arial" w:hAnsi="Arial" w:cs="Arial"/>
          <w:color w:val="auto"/>
          <w:lang w:val="en-US"/>
        </w:rPr>
        <w:t xml:space="preserve">in the guidance on </w:t>
      </w:r>
      <w:r w:rsidRPr="00645E78" w:rsidR="3C5223C4">
        <w:rPr>
          <w:rFonts w:ascii="Arial" w:hAnsi="Arial" w:cs="Arial"/>
          <w:color w:val="auto"/>
          <w:lang w:val="en-US"/>
        </w:rPr>
        <w:t xml:space="preserve">“Managing </w:t>
      </w:r>
      <w:r w:rsidRPr="00645E78" w:rsidR="69B0B34F">
        <w:rPr>
          <w:rFonts w:ascii="Arial" w:hAnsi="Arial" w:cs="Arial"/>
          <w:color w:val="auto"/>
          <w:lang w:val="en-US"/>
        </w:rPr>
        <w:t>Potentially</w:t>
      </w:r>
      <w:r w:rsidRPr="00645E78" w:rsidR="3C5223C4">
        <w:rPr>
          <w:rFonts w:ascii="Arial" w:hAnsi="Arial" w:cs="Arial"/>
          <w:color w:val="auto"/>
          <w:lang w:val="en-US"/>
        </w:rPr>
        <w:t xml:space="preserve"> Harmful Info</w:t>
      </w:r>
      <w:r w:rsidRPr="00645E78" w:rsidR="69B0B34F">
        <w:rPr>
          <w:rFonts w:ascii="Arial" w:hAnsi="Arial" w:cs="Arial"/>
          <w:color w:val="auto"/>
          <w:lang w:val="en-US"/>
        </w:rPr>
        <w:t>r</w:t>
      </w:r>
      <w:r w:rsidRPr="00645E78" w:rsidR="3C5223C4">
        <w:rPr>
          <w:rFonts w:ascii="Arial" w:hAnsi="Arial" w:cs="Arial"/>
          <w:color w:val="auto"/>
          <w:lang w:val="en-US"/>
        </w:rPr>
        <w:t xml:space="preserve">mation” and </w:t>
      </w:r>
      <w:r w:rsidRPr="00645E78" w:rsidR="69B0B34F">
        <w:rPr>
          <w:rFonts w:ascii="Arial" w:hAnsi="Arial" w:cs="Arial"/>
          <w:color w:val="auto"/>
          <w:lang w:val="en-US"/>
        </w:rPr>
        <w:t>“Safeguarding Vulnerable Groups”</w:t>
      </w:r>
      <w:r w:rsidRPr="00645E78" w:rsidR="059A1892">
        <w:rPr>
          <w:rFonts w:ascii="Arial" w:hAnsi="Arial" w:cs="Arial"/>
          <w:color w:val="auto"/>
          <w:lang w:val="en-US"/>
        </w:rPr>
        <w:t xml:space="preserve"> </w:t>
      </w:r>
      <w:r w:rsidRPr="00645E78" w:rsidR="7354A6D2">
        <w:rPr>
          <w:rFonts w:ascii="Arial" w:hAnsi="Arial" w:cs="Arial"/>
          <w:color w:val="auto"/>
          <w:lang w:val="en-US"/>
        </w:rPr>
        <w:t>in the Toolkit.</w:t>
      </w:r>
    </w:p>
    <w:p w:rsidRPr="00136540" w:rsidR="00142A2D" w:rsidP="00733804" w:rsidRDefault="00142A2D" w14:paraId="6680676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p>
    <w:p w:rsidRPr="00BE2F58" w:rsidR="00142A2D" w:rsidP="00BE2F58" w:rsidRDefault="00F13B98" w14:paraId="670C896D" w14:textId="7539B87F">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426"/>
        <w:rPr>
          <w:rFonts w:ascii="Lato" w:hAnsi="Lato" w:cs="Arial"/>
          <w:b/>
          <w:bCs/>
          <w:color w:val="000000" w:themeColor="text1"/>
          <w:sz w:val="32"/>
          <w:szCs w:val="32"/>
        </w:rPr>
      </w:pPr>
      <w:r w:rsidRPr="00BE2F58">
        <w:rPr>
          <w:rFonts w:ascii="Lato" w:hAnsi="Lato" w:cs="Arial"/>
          <w:b/>
          <w:bCs/>
          <w:color w:val="000000" w:themeColor="text1"/>
          <w:sz w:val="32"/>
          <w:szCs w:val="32"/>
          <w:lang w:val="en-US"/>
        </w:rPr>
        <w:t>Informed patients</w:t>
      </w:r>
    </w:p>
    <w:p w:rsidRPr="00923EB1" w:rsidR="00142A2D" w:rsidP="00733804" w:rsidRDefault="00F13B98" w14:paraId="670109B7" w14:textId="158616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7A46A74" w:rsidR="00F13B98">
        <w:rPr>
          <w:rFonts w:ascii="Arial" w:hAnsi="Arial" w:cs="Arial"/>
          <w:lang w:val="en-US"/>
        </w:rPr>
        <w:t>Patient</w:t>
      </w:r>
      <w:r w:rsidRPr="07A46A74" w:rsidR="00823728">
        <w:rPr>
          <w:rFonts w:ascii="Arial" w:hAnsi="Arial" w:cs="Arial"/>
          <w:lang w:val="en-US"/>
        </w:rPr>
        <w:t>s</w:t>
      </w:r>
      <w:r w:rsidRPr="07A46A74" w:rsidR="00F13B98">
        <w:rPr>
          <w:rFonts w:ascii="Arial" w:hAnsi="Arial" w:cs="Arial"/>
          <w:lang w:val="en-US"/>
        </w:rPr>
        <w:t xml:space="preserve"> need to know how to use</w:t>
      </w:r>
      <w:r w:rsidRPr="07A46A74" w:rsidR="009C50D6">
        <w:rPr>
          <w:rFonts w:ascii="Arial" w:hAnsi="Arial" w:cs="Arial"/>
          <w:lang w:val="en-US"/>
        </w:rPr>
        <w:t xml:space="preserve"> their</w:t>
      </w:r>
      <w:r w:rsidRPr="07A46A74" w:rsidR="00F13B98">
        <w:rPr>
          <w:rFonts w:ascii="Arial" w:hAnsi="Arial" w:cs="Arial"/>
          <w:lang w:val="en-US"/>
        </w:rPr>
        <w:t xml:space="preserve"> </w:t>
      </w:r>
      <w:r w:rsidRPr="07A46A74" w:rsidR="00CA00DD">
        <w:rPr>
          <w:rFonts w:ascii="Arial" w:hAnsi="Arial" w:cs="Arial"/>
          <w:lang w:val="en-US"/>
        </w:rPr>
        <w:t xml:space="preserve">GP </w:t>
      </w:r>
      <w:r w:rsidRPr="07A46A74" w:rsidR="09098213">
        <w:rPr>
          <w:rFonts w:ascii="Arial" w:hAnsi="Arial" w:cs="Arial"/>
          <w:lang w:val="en-US"/>
        </w:rPr>
        <w:t>O</w:t>
      </w:r>
      <w:r w:rsidRPr="07A46A74" w:rsidR="00CA00DD">
        <w:rPr>
          <w:rFonts w:ascii="Arial" w:hAnsi="Arial" w:cs="Arial"/>
          <w:lang w:val="en-US"/>
        </w:rPr>
        <w:t xml:space="preserve">nline </w:t>
      </w:r>
      <w:r w:rsidRPr="07A46A74" w:rsidR="6028FCFB">
        <w:rPr>
          <w:rFonts w:ascii="Arial" w:hAnsi="Arial" w:cs="Arial"/>
          <w:lang w:val="en-US"/>
        </w:rPr>
        <w:t>S</w:t>
      </w:r>
      <w:r w:rsidRPr="07A46A74" w:rsidR="00CA00DD">
        <w:rPr>
          <w:rFonts w:ascii="Arial" w:hAnsi="Arial" w:cs="Arial"/>
          <w:lang w:val="en-US"/>
        </w:rPr>
        <w:t>ervices</w:t>
      </w:r>
      <w:r w:rsidRPr="07A46A74" w:rsidR="00F13B98">
        <w:rPr>
          <w:rFonts w:ascii="Arial" w:hAnsi="Arial" w:cs="Arial"/>
          <w:lang w:val="en-US"/>
        </w:rPr>
        <w:t xml:space="preserve"> safely, to protect their access and keep their data secure. If patients want to be able to use </w:t>
      </w:r>
      <w:r w:rsidRPr="07A46A74" w:rsidR="009C50D6">
        <w:rPr>
          <w:rFonts w:ascii="Arial" w:hAnsi="Arial" w:cs="Arial"/>
          <w:lang w:val="en-US"/>
        </w:rPr>
        <w:t>the</w:t>
      </w:r>
      <w:r w:rsidRPr="07A46A74" w:rsidR="00CA00DD">
        <w:rPr>
          <w:rFonts w:ascii="Arial" w:hAnsi="Arial" w:cs="Arial"/>
          <w:lang w:val="en-US"/>
        </w:rPr>
        <w:t xml:space="preserve"> </w:t>
      </w:r>
      <w:r w:rsidRPr="07A46A74" w:rsidR="009C50D6">
        <w:rPr>
          <w:rFonts w:ascii="Arial" w:hAnsi="Arial" w:cs="Arial"/>
          <w:lang w:val="en-US"/>
        </w:rPr>
        <w:t>o</w:t>
      </w:r>
      <w:r w:rsidRPr="07A46A74" w:rsidR="00CA00DD">
        <w:rPr>
          <w:rFonts w:ascii="Arial" w:hAnsi="Arial" w:cs="Arial"/>
          <w:lang w:val="en-US"/>
        </w:rPr>
        <w:t xml:space="preserve">nline </w:t>
      </w:r>
      <w:r w:rsidRPr="07A46A74" w:rsidR="009C50D6">
        <w:rPr>
          <w:rFonts w:ascii="Arial" w:hAnsi="Arial" w:cs="Arial"/>
          <w:lang w:val="en-US"/>
        </w:rPr>
        <w:t>s</w:t>
      </w:r>
      <w:r w:rsidRPr="07A46A74" w:rsidR="00CA00DD">
        <w:rPr>
          <w:rFonts w:ascii="Arial" w:hAnsi="Arial" w:cs="Arial"/>
          <w:lang w:val="en-US"/>
        </w:rPr>
        <w:t>ervices</w:t>
      </w:r>
      <w:r w:rsidRPr="07A46A74" w:rsidR="00F13B98">
        <w:rPr>
          <w:rFonts w:ascii="Arial" w:hAnsi="Arial" w:cs="Arial"/>
          <w:lang w:val="en-US"/>
        </w:rPr>
        <w:t xml:space="preserve"> but lack the computer skills that they will need, they may be able to use a local </w:t>
      </w:r>
      <w:proofErr w:type="spellStart"/>
      <w:r w:rsidRPr="07A46A74" w:rsidR="00F13B98">
        <w:rPr>
          <w:rFonts w:ascii="Arial" w:hAnsi="Arial" w:cs="Arial"/>
          <w:lang w:val="en-US"/>
        </w:rPr>
        <w:t>centre</w:t>
      </w:r>
      <w:proofErr w:type="spellEnd"/>
      <w:r w:rsidRPr="07A46A74" w:rsidR="00F13B98">
        <w:rPr>
          <w:rFonts w:ascii="Arial" w:hAnsi="Arial" w:cs="Arial"/>
          <w:lang w:val="en-US"/>
        </w:rPr>
        <w:t xml:space="preserve"> to learn to use computers securely. </w:t>
      </w:r>
      <w:r w:rsidRPr="07A46A74" w:rsidR="00F13B98">
        <w:rPr>
          <w:rFonts w:ascii="Arial" w:hAnsi="Arial" w:cs="Arial"/>
          <w:lang w:val="en-US"/>
        </w:rPr>
        <w:t>There is a network of learning centres throughout the UK co-ordinated by the Good Things Foundation (see further reading below)</w:t>
      </w:r>
      <w:r w:rsidRPr="07A46A74" w:rsidR="00E32827">
        <w:rPr>
          <w:rFonts w:ascii="Arial" w:hAnsi="Arial" w:cs="Arial"/>
          <w:lang w:val="en-US"/>
        </w:rPr>
        <w:t>.</w:t>
      </w:r>
    </w:p>
    <w:p w:rsidRPr="00923EB1" w:rsidR="00142A2D" w:rsidP="00733804" w:rsidRDefault="7354A6D2" w14:paraId="2DDE99A2" w14:textId="370544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13757D61">
        <w:rPr>
          <w:rFonts w:ascii="Arial" w:hAnsi="Arial" w:cs="Arial"/>
          <w:lang w:val="en-US"/>
        </w:rPr>
        <w:t>Patients who have</w:t>
      </w:r>
      <w:r w:rsidRPr="13757D61" w:rsidR="00C84113">
        <w:rPr>
          <w:rFonts w:ascii="Arial" w:hAnsi="Arial" w:cs="Arial"/>
          <w:lang w:val="en-US"/>
        </w:rPr>
        <w:t xml:space="preserve"> access </w:t>
      </w:r>
      <w:r w:rsidRPr="13757D61" w:rsidR="00206986">
        <w:rPr>
          <w:rFonts w:ascii="Arial" w:hAnsi="Arial" w:cs="Arial"/>
          <w:lang w:val="en-US"/>
        </w:rPr>
        <w:t>to their</w:t>
      </w:r>
      <w:r w:rsidRPr="13757D61" w:rsidR="00C84113">
        <w:rPr>
          <w:rFonts w:ascii="Arial" w:hAnsi="Arial" w:cs="Arial"/>
          <w:lang w:val="en-US"/>
        </w:rPr>
        <w:t xml:space="preserve"> practice’ o</w:t>
      </w:r>
      <w:r w:rsidRPr="13757D61" w:rsidR="243A22D5">
        <w:rPr>
          <w:rFonts w:ascii="Arial" w:hAnsi="Arial" w:cs="Arial"/>
          <w:lang w:val="en-US"/>
        </w:rPr>
        <w:t xml:space="preserve">nline </w:t>
      </w:r>
      <w:r w:rsidRPr="13757D61" w:rsidR="00C84113">
        <w:rPr>
          <w:rFonts w:ascii="Arial" w:hAnsi="Arial" w:cs="Arial"/>
          <w:lang w:val="en-US"/>
        </w:rPr>
        <w:t>s</w:t>
      </w:r>
      <w:r w:rsidRPr="13757D61" w:rsidR="243A22D5">
        <w:rPr>
          <w:rFonts w:ascii="Arial" w:hAnsi="Arial" w:cs="Arial"/>
          <w:lang w:val="en-US"/>
        </w:rPr>
        <w:t>ervices</w:t>
      </w:r>
      <w:r w:rsidRPr="13757D61">
        <w:rPr>
          <w:rFonts w:ascii="Arial" w:hAnsi="Arial" w:cs="Arial"/>
          <w:lang w:val="en-US"/>
        </w:rPr>
        <w:t xml:space="preserve"> have a responsibility for the security of the confidential health information that they can </w:t>
      </w:r>
      <w:r w:rsidRPr="13757D61" w:rsidR="0C883FFF">
        <w:rPr>
          <w:rFonts w:ascii="Arial" w:hAnsi="Arial" w:cs="Arial"/>
          <w:lang w:val="en-US"/>
        </w:rPr>
        <w:t>access,</w:t>
      </w:r>
      <w:r w:rsidRPr="13757D61">
        <w:rPr>
          <w:rFonts w:ascii="Arial" w:hAnsi="Arial" w:cs="Arial"/>
          <w:lang w:val="en-US"/>
        </w:rPr>
        <w:t xml:space="preserve"> and they need to know how to protect it. </w:t>
      </w:r>
      <w:r w:rsidRPr="13757D61" w:rsidR="793014AF">
        <w:rPr>
          <w:rFonts w:ascii="Arial" w:hAnsi="Arial" w:cs="Arial"/>
          <w:lang w:val="en-US"/>
        </w:rPr>
        <w:t xml:space="preserve"> </w:t>
      </w:r>
      <w:r w:rsidRPr="13757D61">
        <w:rPr>
          <w:rFonts w:ascii="Arial" w:hAnsi="Arial" w:cs="Arial"/>
          <w:lang w:val="en-US"/>
        </w:rPr>
        <w:t xml:space="preserve">They should also be aware that the information they see may be harmful or upsetting, if they see information that they disagree with, that is incomplete, or inaccurate. </w:t>
      </w:r>
      <w:r w:rsidRPr="13757D61" w:rsidR="00C84113">
        <w:rPr>
          <w:rFonts w:ascii="Arial" w:hAnsi="Arial" w:cs="Arial"/>
          <w:lang w:val="en-US"/>
        </w:rPr>
        <w:t xml:space="preserve"> </w:t>
      </w:r>
      <w:r w:rsidRPr="13757D61" w:rsidR="0C883FFF">
        <w:rPr>
          <w:rFonts w:ascii="Arial" w:hAnsi="Arial" w:cs="Arial"/>
          <w:lang w:val="en-US"/>
        </w:rPr>
        <w:t>They</w:t>
      </w:r>
      <w:r w:rsidRPr="13757D61">
        <w:rPr>
          <w:rFonts w:ascii="Arial" w:hAnsi="Arial" w:cs="Arial"/>
          <w:lang w:val="en-US"/>
        </w:rPr>
        <w:t xml:space="preserve"> may identify things that are missing that they would like to have in the record such as allergies or past vaccinations. </w:t>
      </w:r>
      <w:r w:rsidRPr="13757D61" w:rsidR="793014AF">
        <w:rPr>
          <w:rFonts w:ascii="Arial" w:hAnsi="Arial" w:cs="Arial"/>
          <w:lang w:val="en-US"/>
        </w:rPr>
        <w:t xml:space="preserve"> </w:t>
      </w:r>
      <w:r w:rsidRPr="13757D61">
        <w:rPr>
          <w:rFonts w:ascii="Arial" w:hAnsi="Arial" w:cs="Arial"/>
          <w:lang w:val="en-US"/>
        </w:rPr>
        <w:t xml:space="preserve">They may see confidential information relating to a third person that they should not have access to. </w:t>
      </w:r>
      <w:r w:rsidRPr="13757D61" w:rsidR="793014AF">
        <w:rPr>
          <w:rFonts w:ascii="Arial" w:hAnsi="Arial" w:cs="Arial"/>
          <w:lang w:val="en-US"/>
        </w:rPr>
        <w:t xml:space="preserve"> </w:t>
      </w:r>
      <w:r w:rsidRPr="13757D61">
        <w:rPr>
          <w:rFonts w:ascii="Arial" w:hAnsi="Arial" w:cs="Arial"/>
          <w:lang w:val="en-US"/>
        </w:rPr>
        <w:t xml:space="preserve">The practice should make sure that patients are fully informed about all these possibilities when they apply for </w:t>
      </w:r>
      <w:r w:rsidRPr="13757D61" w:rsidR="00C84113">
        <w:rPr>
          <w:rFonts w:ascii="Arial" w:hAnsi="Arial" w:cs="Arial"/>
          <w:lang w:val="en-US"/>
        </w:rPr>
        <w:t xml:space="preserve">any </w:t>
      </w:r>
      <w:r w:rsidRPr="13757D61" w:rsidR="243A22D5">
        <w:rPr>
          <w:rFonts w:ascii="Arial" w:hAnsi="Arial" w:cs="Arial"/>
          <w:lang w:val="en-US"/>
        </w:rPr>
        <w:t xml:space="preserve">GP </w:t>
      </w:r>
      <w:r w:rsidRPr="13757D61" w:rsidR="22987BB3">
        <w:rPr>
          <w:rFonts w:ascii="Arial" w:hAnsi="Arial" w:cs="Arial"/>
          <w:lang w:val="en-US"/>
        </w:rPr>
        <w:t>O</w:t>
      </w:r>
      <w:r w:rsidRPr="13757D61" w:rsidR="243A22D5">
        <w:rPr>
          <w:rFonts w:ascii="Arial" w:hAnsi="Arial" w:cs="Arial"/>
          <w:lang w:val="en-US"/>
        </w:rPr>
        <w:t xml:space="preserve">nline </w:t>
      </w:r>
      <w:r w:rsidRPr="13757D61" w:rsidR="74A4EF51">
        <w:rPr>
          <w:rFonts w:ascii="Arial" w:hAnsi="Arial" w:cs="Arial"/>
          <w:lang w:val="en-US"/>
        </w:rPr>
        <w:t>S</w:t>
      </w:r>
      <w:r w:rsidRPr="13757D61" w:rsidR="243A22D5">
        <w:rPr>
          <w:rFonts w:ascii="Arial" w:hAnsi="Arial" w:cs="Arial"/>
          <w:lang w:val="en-US"/>
        </w:rPr>
        <w:t>ervices</w:t>
      </w:r>
      <w:r w:rsidRPr="13757D61">
        <w:rPr>
          <w:rFonts w:ascii="Arial" w:hAnsi="Arial" w:cs="Arial"/>
          <w:lang w:val="en-US"/>
        </w:rPr>
        <w:t>.</w:t>
      </w:r>
    </w:p>
    <w:p w:rsidRPr="00E32827" w:rsidR="00142A2D" w:rsidP="00733804" w:rsidRDefault="00873819" w14:paraId="4FB8A1C2" w14:textId="403663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color w:val="00B050"/>
        </w:rPr>
      </w:pPr>
      <w:r w:rsidRPr="00873819">
        <w:rPr>
          <w:rFonts w:ascii="Webdings" w:hAnsi="Webdings" w:eastAsia="Calibri" w:cs="Arial"/>
          <w:color w:val="auto"/>
        </w:rPr>
        <w:t>i</w:t>
      </w:r>
      <w:r>
        <w:rPr>
          <w:rFonts w:ascii="Webdings" w:hAnsi="Webdings" w:eastAsia="Calibri" w:cs="Arial"/>
        </w:rPr>
        <w:t xml:space="preserve"> </w:t>
      </w:r>
      <w:r w:rsidRPr="00873819" w:rsidR="7354A6D2">
        <w:rPr>
          <w:rFonts w:ascii="Arial" w:hAnsi="Arial" w:cs="Arial"/>
          <w:color w:val="auto"/>
          <w:lang w:val="en-US"/>
        </w:rPr>
        <w:t xml:space="preserve">There is more information about the information that patients need to use </w:t>
      </w:r>
      <w:r w:rsidRPr="00873819" w:rsidR="243A22D5">
        <w:rPr>
          <w:rFonts w:ascii="Arial" w:hAnsi="Arial" w:cs="Arial"/>
          <w:color w:val="auto"/>
          <w:lang w:val="en-US"/>
        </w:rPr>
        <w:t>GP Online Services</w:t>
      </w:r>
      <w:r w:rsidRPr="00873819" w:rsidR="7354A6D2">
        <w:rPr>
          <w:rFonts w:ascii="Arial" w:hAnsi="Arial" w:cs="Arial"/>
          <w:color w:val="auto"/>
          <w:lang w:val="en-US"/>
        </w:rPr>
        <w:t xml:space="preserve"> in the guidance on </w:t>
      </w:r>
      <w:r w:rsidRPr="00873819" w:rsidR="00C84113">
        <w:rPr>
          <w:rFonts w:ascii="Arial" w:hAnsi="Arial" w:cs="Arial"/>
          <w:color w:val="auto"/>
          <w:lang w:val="en-US"/>
        </w:rPr>
        <w:t>“</w:t>
      </w:r>
      <w:r w:rsidRPr="00873819" w:rsidR="7354A6D2">
        <w:rPr>
          <w:rFonts w:ascii="Arial" w:hAnsi="Arial" w:cs="Arial"/>
          <w:color w:val="auto"/>
          <w:lang w:val="en-US"/>
        </w:rPr>
        <w:t xml:space="preserve">Patient Information </w:t>
      </w:r>
      <w:r w:rsidRPr="00873819" w:rsidR="00C84113">
        <w:rPr>
          <w:rFonts w:ascii="Arial" w:hAnsi="Arial" w:cs="Arial"/>
          <w:color w:val="auto"/>
          <w:lang w:val="en-US"/>
        </w:rPr>
        <w:t>T</w:t>
      </w:r>
      <w:r w:rsidRPr="00873819" w:rsidR="7354A6D2">
        <w:rPr>
          <w:rFonts w:ascii="Arial" w:hAnsi="Arial" w:cs="Arial"/>
          <w:color w:val="auto"/>
          <w:lang w:val="en-US"/>
        </w:rPr>
        <w:t xml:space="preserve">hemes for </w:t>
      </w:r>
      <w:r w:rsidRPr="00873819" w:rsidR="243A22D5">
        <w:rPr>
          <w:rFonts w:ascii="Arial" w:hAnsi="Arial" w:cs="Arial"/>
          <w:color w:val="auto"/>
          <w:lang w:val="en-US"/>
        </w:rPr>
        <w:t>GP Online Services</w:t>
      </w:r>
      <w:r w:rsidRPr="00873819" w:rsidR="00C84113">
        <w:rPr>
          <w:rFonts w:ascii="Arial" w:hAnsi="Arial" w:cs="Arial"/>
          <w:color w:val="auto"/>
          <w:lang w:val="en-US"/>
        </w:rPr>
        <w:t>”</w:t>
      </w:r>
      <w:r w:rsidRPr="00873819" w:rsidR="7354A6D2">
        <w:rPr>
          <w:rFonts w:ascii="Arial" w:hAnsi="Arial" w:cs="Arial"/>
          <w:color w:val="auto"/>
          <w:lang w:val="en-US"/>
        </w:rPr>
        <w:t xml:space="preserve"> in the Toolkit</w:t>
      </w:r>
      <w:r w:rsidRPr="00E32827" w:rsidR="7354A6D2">
        <w:rPr>
          <w:rFonts w:ascii="Arial" w:hAnsi="Arial" w:cs="Arial"/>
          <w:color w:val="00B050"/>
          <w:lang w:val="en-US"/>
        </w:rPr>
        <w:t>.</w:t>
      </w:r>
    </w:p>
    <w:p w:rsidRPr="00923EB1" w:rsidR="00142A2D" w:rsidP="00733804" w:rsidRDefault="00F13B98" w14:paraId="79227B5F" w14:textId="65F80DC5">
      <w:pPr>
        <w:pStyle w:val="Default"/>
        <w:widowControl w:val="0"/>
        <w:spacing w:before="120" w:line="288" w:lineRule="auto"/>
        <w:rPr>
          <w:rFonts w:ascii="Arial" w:hAnsi="Arial" w:cs="Arial"/>
          <w:lang w:val="en-US"/>
        </w:rPr>
      </w:pPr>
      <w:r w:rsidRPr="00923EB1">
        <w:rPr>
          <w:rFonts w:ascii="Arial" w:hAnsi="Arial" w:cs="Arial"/>
          <w:lang w:val="en-US"/>
        </w:rPr>
        <w:t xml:space="preserve">Tried and trusted techniques such as “chunk and check” and “teach back” help patients retain information about their health and GP services. Verbal advice about </w:t>
      </w:r>
      <w:r w:rsidRPr="00923EB1" w:rsidR="00CA00DD">
        <w:rPr>
          <w:rFonts w:ascii="Arial" w:hAnsi="Arial" w:cs="Arial"/>
          <w:lang w:val="en-US"/>
        </w:rPr>
        <w:t>GP Online Services</w:t>
      </w:r>
      <w:r w:rsidRPr="00923EB1">
        <w:rPr>
          <w:rFonts w:ascii="Arial" w:hAnsi="Arial" w:cs="Arial"/>
          <w:lang w:val="en-US"/>
        </w:rPr>
        <w:t xml:space="preserve"> should be backed up by accessible written information on paper or on the practice website, which patients with a visual disability often prefer. Patient leaflets, posters, websites and any other means of communication available to the practice can be used to communicate with patients about </w:t>
      </w:r>
      <w:r w:rsidRPr="00923EB1" w:rsidR="00CA00DD">
        <w:rPr>
          <w:rFonts w:ascii="Arial" w:hAnsi="Arial" w:cs="Arial"/>
          <w:lang w:val="en-US"/>
        </w:rPr>
        <w:t>GP Online Services</w:t>
      </w:r>
      <w:r w:rsidRPr="00923EB1">
        <w:rPr>
          <w:rFonts w:ascii="Arial" w:hAnsi="Arial" w:cs="Arial"/>
          <w:lang w:val="en-US"/>
        </w:rPr>
        <w:t>.</w:t>
      </w:r>
    </w:p>
    <w:p w:rsidRPr="0068715F" w:rsidR="00C76570" w:rsidP="00324CFE" w:rsidRDefault="00873819" w14:paraId="21213F21" w14:textId="34464EB8">
      <w:pPr>
        <w:pStyle w:val="Default"/>
        <w:widowControl w:val="0"/>
        <w:spacing w:before="120" w:line="288" w:lineRule="auto"/>
        <w:rPr>
          <w:rFonts w:ascii="Arial" w:hAnsi="Arial" w:cs="Arial"/>
          <w:color w:val="00B050"/>
          <w:lang w:val="en-US"/>
        </w:rPr>
      </w:pPr>
      <w:r w:rsidRPr="00873819">
        <w:rPr>
          <w:rFonts w:ascii="Webdings" w:hAnsi="Webdings" w:eastAsia="Calibri" w:cs="Arial"/>
          <w:color w:val="auto"/>
        </w:rPr>
        <w:t>i</w:t>
      </w:r>
      <w:r>
        <w:rPr>
          <w:rFonts w:ascii="Webdings" w:hAnsi="Webdings" w:eastAsia="Calibri" w:cs="Arial"/>
        </w:rPr>
        <w:t xml:space="preserve"> </w:t>
      </w:r>
      <w:r w:rsidRPr="00873819" w:rsidR="69B0B34F">
        <w:rPr>
          <w:rFonts w:ascii="Arial" w:hAnsi="Arial" w:cs="Arial"/>
          <w:color w:val="auto"/>
          <w:lang w:val="en-US"/>
        </w:rPr>
        <w:t xml:space="preserve">There is information in the Health Literacy Place about “chunk and check” here - </w:t>
      </w:r>
      <w:hyperlink w:history="1" r:id="rId15">
        <w:r w:rsidRPr="00B41076" w:rsidR="00645E78">
          <w:rPr>
            <w:rStyle w:val="Hyperlink"/>
            <w:rFonts w:ascii="Arial" w:hAnsi="Arial" w:cs="Arial"/>
            <w:lang w:val="en-US"/>
          </w:rPr>
          <w:t>https://www.healthliteracyplace.org.uk/toolkit/techniques/chunk-and-check/</w:t>
        </w:r>
      </w:hyperlink>
      <w:r w:rsidRPr="00873819" w:rsidR="69B0B34F">
        <w:rPr>
          <w:rFonts w:ascii="Arial" w:hAnsi="Arial" w:cs="Arial"/>
          <w:color w:val="auto"/>
          <w:lang w:val="en-US"/>
        </w:rPr>
        <w:t xml:space="preserve"> and “teach back” here </w:t>
      </w:r>
      <w:hyperlink w:history="1" r:id="rId16">
        <w:r w:rsidRPr="00645E78" w:rsidR="69B0B34F">
          <w:rPr>
            <w:rStyle w:val="Hyperlink"/>
            <w:rFonts w:ascii="Arial" w:hAnsi="Arial" w:cs="Arial"/>
            <w:lang w:val="en-US"/>
          </w:rPr>
          <w:t>https://www.healthliteracyplace.org.uk/toolkit/techniques/teach-back</w:t>
        </w:r>
      </w:hyperlink>
      <w:r w:rsidRPr="13757D61" w:rsidR="69B0B34F">
        <w:rPr>
          <w:rFonts w:ascii="Arial" w:hAnsi="Arial" w:cs="Arial"/>
          <w:color w:val="00B050"/>
          <w:lang w:val="en-US"/>
        </w:rPr>
        <w:t xml:space="preserve">/ </w:t>
      </w:r>
    </w:p>
    <w:p w:rsidRPr="0068715F" w:rsidR="00142A2D" w:rsidP="00324CFE" w:rsidRDefault="00645E78" w14:paraId="5252BA32" w14:textId="13B0305A">
      <w:pPr>
        <w:pStyle w:val="Heading"/>
        <w:keepNext w:val="0"/>
        <w:widowControl w:val="0"/>
        <w:spacing w:before="120" w:line="288" w:lineRule="auto"/>
        <w:rPr>
          <w:rFonts w:ascii="Arial" w:hAnsi="Arial" w:cs="Arial"/>
          <w:color w:val="00B050"/>
          <w:sz w:val="22"/>
          <w:szCs w:val="22"/>
        </w:rPr>
      </w:pPr>
      <w:r w:rsidRPr="00645E78">
        <w:rPr>
          <w:rFonts w:ascii="Webdings" w:hAnsi="Webdings" w:eastAsia="Calibri" w:cs="Arial"/>
          <w:b w:val="0"/>
          <w:bCs w:val="0"/>
          <w:color w:val="auto"/>
          <w:sz w:val="22"/>
          <w:szCs w:val="22"/>
        </w:rPr>
        <w:t>i</w:t>
      </w:r>
      <w:r w:rsidRPr="0068715F">
        <w:rPr>
          <w:rFonts w:ascii="Arial" w:hAnsi="Arial" w:cs="Arial"/>
          <w:b w:val="0"/>
          <w:bCs w:val="0"/>
          <w:color w:val="00B050"/>
          <w:sz w:val="22"/>
          <w:szCs w:val="22"/>
        </w:rPr>
        <w:t xml:space="preserve"> </w:t>
      </w:r>
      <w:r w:rsidRPr="00645E78" w:rsidR="7354A6D2">
        <w:rPr>
          <w:rFonts w:ascii="Arial" w:hAnsi="Arial" w:cs="Arial"/>
          <w:b w:val="0"/>
          <w:bCs w:val="0"/>
          <w:color w:val="auto"/>
          <w:sz w:val="22"/>
          <w:szCs w:val="22"/>
        </w:rPr>
        <w:t xml:space="preserve">There is also more guidance on </w:t>
      </w:r>
      <w:r w:rsidRPr="00645E78" w:rsidR="69B0B34F">
        <w:rPr>
          <w:rFonts w:ascii="Arial" w:hAnsi="Arial" w:cs="Arial"/>
          <w:b w:val="0"/>
          <w:bCs w:val="0"/>
          <w:color w:val="auto"/>
          <w:sz w:val="22"/>
          <w:szCs w:val="22"/>
        </w:rPr>
        <w:t>“</w:t>
      </w:r>
      <w:r w:rsidRPr="00645E78" w:rsidR="7354A6D2">
        <w:rPr>
          <w:rFonts w:ascii="Arial" w:hAnsi="Arial" w:cs="Arial"/>
          <w:b w:val="0"/>
          <w:bCs w:val="0"/>
          <w:color w:val="auto"/>
          <w:sz w:val="22"/>
          <w:szCs w:val="22"/>
        </w:rPr>
        <w:t>Patient Information Themes for GP Online Services</w:t>
      </w:r>
      <w:r w:rsidRPr="00645E78" w:rsidR="69B0B34F">
        <w:rPr>
          <w:rFonts w:ascii="Arial" w:hAnsi="Arial" w:cs="Arial"/>
          <w:b w:val="0"/>
          <w:bCs w:val="0"/>
          <w:color w:val="auto"/>
          <w:sz w:val="22"/>
          <w:szCs w:val="22"/>
        </w:rPr>
        <w:t>”</w:t>
      </w:r>
      <w:r w:rsidRPr="00645E78" w:rsidR="7354A6D2">
        <w:rPr>
          <w:rFonts w:ascii="Arial" w:hAnsi="Arial" w:cs="Arial"/>
          <w:b w:val="0"/>
          <w:bCs w:val="0"/>
          <w:color w:val="auto"/>
          <w:sz w:val="22"/>
          <w:szCs w:val="22"/>
        </w:rPr>
        <w:t xml:space="preserve"> in the Toolkit and templates for patient leaflets on understanding abnormal laboratory results and other topics</w:t>
      </w:r>
      <w:r w:rsidRPr="0068715F" w:rsidR="7354A6D2">
        <w:rPr>
          <w:rFonts w:ascii="Arial" w:hAnsi="Arial" w:cs="Arial"/>
          <w:b w:val="0"/>
          <w:bCs w:val="0"/>
          <w:color w:val="00B050"/>
          <w:sz w:val="22"/>
          <w:szCs w:val="22"/>
        </w:rPr>
        <w:t>.</w:t>
      </w:r>
    </w:p>
    <w:p w:rsidRPr="00136540" w:rsidR="00142A2D" w:rsidP="00733804" w:rsidRDefault="00F13B98" w14:paraId="4ABDF2EB" w14:textId="37B798F4">
      <w:pPr>
        <w:pStyle w:val="Default"/>
        <w:widowControl w:val="0"/>
        <w:spacing w:before="120" w:line="288" w:lineRule="auto"/>
        <w:rPr>
          <w:rFonts w:ascii="Arial" w:hAnsi="Arial" w:cs="Arial"/>
          <w:lang w:val="en-US"/>
        </w:rPr>
      </w:pPr>
      <w:r w:rsidRPr="6EBA0D59">
        <w:rPr>
          <w:rFonts w:ascii="Arial" w:hAnsi="Arial" w:cs="Arial"/>
          <w:lang w:val="en-US"/>
        </w:rPr>
        <w:t xml:space="preserve">Patients can use their detailed coded record as a list of terms to learn about how to understand their condition. By encouraging patients to engage with their own health record, they are more likely to become inquisitive and engaged with their diagnoses, investigations and treatments that they identify within the record itself. </w:t>
      </w:r>
    </w:p>
    <w:p w:rsidRPr="0068715F" w:rsidR="00142A2D" w:rsidP="00324CFE" w:rsidRDefault="00645E78" w14:paraId="741D0AA4" w14:textId="4839EECD">
      <w:pPr>
        <w:pStyle w:val="Default"/>
        <w:spacing w:before="120" w:line="288" w:lineRule="auto"/>
        <w:rPr>
          <w:rFonts w:ascii="Arial" w:hAnsi="Arial" w:cs="Arial"/>
          <w:color w:val="00B050"/>
          <w:lang w:val="en-US"/>
        </w:rPr>
      </w:pPr>
      <w:r w:rsidRPr="00873819">
        <w:rPr>
          <w:rFonts w:ascii="Webdings" w:hAnsi="Webdings" w:eastAsia="Calibri" w:cs="Arial"/>
          <w:color w:val="auto"/>
        </w:rPr>
        <w:t>i</w:t>
      </w:r>
      <w:r w:rsidRPr="13757D61">
        <w:rPr>
          <w:rFonts w:ascii="Arial" w:hAnsi="Arial" w:cs="Arial"/>
          <w:color w:val="00B050"/>
          <w:lang w:val="en-US"/>
        </w:rPr>
        <w:t xml:space="preserve"> </w:t>
      </w:r>
      <w:r w:rsidRPr="00645E78" w:rsidR="7354A6D2">
        <w:rPr>
          <w:rFonts w:ascii="Arial" w:hAnsi="Arial" w:cs="Arial"/>
          <w:color w:val="auto"/>
          <w:lang w:val="en-US"/>
        </w:rPr>
        <w:t xml:space="preserve">There is more information about how to support health literacy in the </w:t>
      </w:r>
      <w:hyperlink w:history="1" r:id="rId17">
        <w:r w:rsidRPr="00645E78" w:rsidR="7354A6D2">
          <w:rPr>
            <w:rStyle w:val="Hyperlink"/>
            <w:rFonts w:ascii="Arial" w:hAnsi="Arial" w:cs="Arial"/>
            <w:lang w:val="en-US"/>
          </w:rPr>
          <w:t>RCGP Person-Centred Care Toolkit</w:t>
        </w:r>
      </w:hyperlink>
      <w:r w:rsidRPr="13757D61" w:rsidR="7354A6D2">
        <w:rPr>
          <w:rFonts w:ascii="Arial" w:hAnsi="Arial" w:cs="Arial"/>
          <w:color w:val="00B050"/>
          <w:lang w:val="en-US"/>
        </w:rPr>
        <w:t xml:space="preserve">, </w:t>
      </w:r>
    </w:p>
    <w:p w:rsidRPr="00645E78" w:rsidR="00142A2D" w:rsidP="00733804" w:rsidRDefault="7354A6D2" w14:paraId="192E3DA7" w14:textId="38C767D7">
      <w:pPr>
        <w:pStyle w:val="Heading"/>
        <w:keepNext w:val="0"/>
        <w:widowControl w:val="0"/>
        <w:spacing w:before="120" w:line="288" w:lineRule="auto"/>
        <w:rPr>
          <w:rFonts w:ascii="Arial" w:hAnsi="Arial" w:cs="Arial"/>
          <w:b w:val="0"/>
          <w:bCs w:val="0"/>
          <w:color w:val="auto"/>
          <w:sz w:val="22"/>
          <w:szCs w:val="22"/>
        </w:rPr>
      </w:pPr>
      <w:r w:rsidRPr="00645E78">
        <w:rPr>
          <w:rFonts w:ascii="Arial" w:hAnsi="Arial" w:cs="Arial"/>
          <w:b w:val="0"/>
          <w:bCs w:val="0"/>
          <w:color w:val="auto"/>
          <w:sz w:val="22"/>
          <w:szCs w:val="22"/>
        </w:rPr>
        <w:t>Useful websites that patients can rely on for information about a wide range of health matters include:</w:t>
      </w:r>
    </w:p>
    <w:p w:rsidRPr="0068715F" w:rsidR="00142A2D" w:rsidP="00940266" w:rsidRDefault="00000000" w14:paraId="1DFFDDC0" w14:textId="0C559085">
      <w:pPr>
        <w:pStyle w:val="Heading"/>
        <w:keepNext w:val="0"/>
        <w:widowControl w:val="0"/>
        <w:numPr>
          <w:ilvl w:val="0"/>
          <w:numId w:val="7"/>
        </w:numPr>
        <w:spacing w:line="288" w:lineRule="auto"/>
        <w:ind w:left="568" w:hanging="284"/>
        <w:rPr>
          <w:rFonts w:ascii="Arial" w:hAnsi="Arial" w:cs="Arial"/>
          <w:b w:val="0"/>
          <w:bCs w:val="0"/>
          <w:color w:val="00B050"/>
          <w:sz w:val="22"/>
          <w:szCs w:val="22"/>
          <w:u w:color="000000"/>
        </w:rPr>
      </w:pPr>
      <w:hyperlink w:history="1" r:id="rId18">
        <w:r w:rsidRPr="00645E78" w:rsidR="00F13B98">
          <w:rPr>
            <w:rStyle w:val="Hyperlink"/>
            <w:rFonts w:ascii="Arial" w:hAnsi="Arial" w:cs="Arial"/>
            <w:b w:val="0"/>
            <w:bCs w:val="0"/>
            <w:sz w:val="22"/>
            <w:szCs w:val="22"/>
          </w:rPr>
          <w:t>https://www.nhs.uk</w:t>
        </w:r>
      </w:hyperlink>
    </w:p>
    <w:p w:rsidRPr="0068715F" w:rsidR="00142A2D" w:rsidP="00940266" w:rsidRDefault="00000000" w14:paraId="7BEADD6C" w14:textId="6A9EA65C">
      <w:pPr>
        <w:pStyle w:val="Heading"/>
        <w:keepNext w:val="0"/>
        <w:widowControl w:val="0"/>
        <w:numPr>
          <w:ilvl w:val="0"/>
          <w:numId w:val="7"/>
        </w:numPr>
        <w:spacing w:line="288" w:lineRule="auto"/>
        <w:ind w:left="568" w:hanging="284"/>
        <w:rPr>
          <w:rFonts w:ascii="Arial" w:hAnsi="Arial" w:cs="Arial"/>
          <w:b w:val="0"/>
          <w:bCs w:val="0"/>
          <w:color w:val="00B050"/>
          <w:sz w:val="22"/>
          <w:szCs w:val="22"/>
          <w:u w:color="000000"/>
        </w:rPr>
      </w:pPr>
      <w:hyperlink w:history="1" r:id="rId19">
        <w:r w:rsidRPr="00645E78" w:rsidR="00F13B98">
          <w:rPr>
            <w:rStyle w:val="Hyperlink"/>
            <w:rFonts w:ascii="Arial" w:hAnsi="Arial" w:cs="Arial"/>
            <w:b w:val="0"/>
            <w:bCs w:val="0"/>
            <w:sz w:val="22"/>
            <w:szCs w:val="22"/>
          </w:rPr>
          <w:t>https://patient.info</w:t>
        </w:r>
      </w:hyperlink>
    </w:p>
    <w:p w:rsidRPr="0068715F" w:rsidR="00142A2D" w:rsidP="00940266" w:rsidRDefault="00000000" w14:paraId="7C3D6DCB" w14:textId="30B3FCEA">
      <w:pPr>
        <w:pStyle w:val="Heading"/>
        <w:keepNext w:val="0"/>
        <w:widowControl w:val="0"/>
        <w:numPr>
          <w:ilvl w:val="0"/>
          <w:numId w:val="7"/>
        </w:numPr>
        <w:spacing w:line="288" w:lineRule="auto"/>
        <w:ind w:left="568" w:hanging="284"/>
        <w:rPr>
          <w:rFonts w:ascii="Arial" w:hAnsi="Arial" w:cs="Arial"/>
          <w:b w:val="0"/>
          <w:bCs w:val="0"/>
          <w:color w:val="00B050"/>
          <w:sz w:val="22"/>
          <w:szCs w:val="22"/>
          <w:u w:color="000000"/>
          <w:lang w:val="de-DE"/>
        </w:rPr>
      </w:pPr>
      <w:hyperlink w:history="1" r:id="rId20">
        <w:r w:rsidRPr="00645E78" w:rsidR="00F13B98">
          <w:rPr>
            <w:rStyle w:val="Hyperlink"/>
            <w:rFonts w:ascii="Arial" w:hAnsi="Arial" w:cs="Arial"/>
            <w:b w:val="0"/>
            <w:bCs w:val="0"/>
            <w:sz w:val="22"/>
            <w:szCs w:val="22"/>
            <w:lang w:val="de-DE"/>
          </w:rPr>
          <w:t>https://labtestsonline.org.uk</w:t>
        </w:r>
      </w:hyperlink>
    </w:p>
    <w:p w:rsidRPr="00136540" w:rsidR="00142A2D" w:rsidP="00733804" w:rsidRDefault="00142A2D" w14:paraId="5BAA04CC" w14:textId="77777777">
      <w:pPr>
        <w:spacing w:before="120" w:line="288" w:lineRule="auto"/>
        <w:rPr>
          <w:rFonts w:ascii="Arial" w:hAnsi="Arial" w:eastAsia="Arial" w:cs="Arial"/>
          <w:color w:val="000000"/>
          <w:sz w:val="22"/>
          <w:szCs w:val="22"/>
          <w:u w:color="000000"/>
        </w:rPr>
      </w:pPr>
    </w:p>
    <w:p w:rsidRPr="00BE2F58" w:rsidR="00142A2D" w:rsidP="00BE2F58" w:rsidRDefault="00F13B98" w14:paraId="2486F049" w14:textId="05E32A3F">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284"/>
        <w:rPr>
          <w:rFonts w:ascii="Lato" w:hAnsi="Lato" w:cs="Arial"/>
          <w:b/>
          <w:bCs/>
          <w:color w:val="000000" w:themeColor="text1"/>
          <w:sz w:val="32"/>
          <w:szCs w:val="32"/>
        </w:rPr>
      </w:pPr>
      <w:r w:rsidRPr="00BE2F58">
        <w:rPr>
          <w:rFonts w:ascii="Lato" w:hAnsi="Lato" w:cs="Arial"/>
          <w:b/>
          <w:bCs/>
          <w:color w:val="000000" w:themeColor="text1"/>
          <w:sz w:val="32"/>
          <w:szCs w:val="32"/>
          <w:lang w:val="en-US"/>
        </w:rPr>
        <w:t>Proxy access</w:t>
      </w:r>
    </w:p>
    <w:p w:rsidRPr="00923EB1" w:rsidR="00142A2D" w:rsidP="00733804" w:rsidRDefault="00F13B98" w14:paraId="67BCE2C1" w14:textId="6C8B36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923EB1">
        <w:rPr>
          <w:rFonts w:ascii="Arial" w:hAnsi="Arial" w:cs="Arial"/>
          <w:lang w:val="en-US"/>
        </w:rPr>
        <w:t xml:space="preserve">Some patients find it helpful for a second person to have access to their GP Online account. This is called proxy access. It may be an informal arrangement by which the patient shares their log in credentials with their proxy and the practice may know nothing about it or, if the GP system has the capability, a more formal arrangement where the practice give the proxy their own personal log in credentials and sets the proxies level of access, which may be different to the patient’s access. </w:t>
      </w:r>
    </w:p>
    <w:p w:rsidRPr="00923EB1" w:rsidR="00142A2D" w:rsidP="00733804" w:rsidRDefault="7354A6D2" w14:paraId="5453F5D5" w14:textId="62F047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923EB1">
        <w:rPr>
          <w:rFonts w:ascii="Arial" w:hAnsi="Arial" w:cs="Arial"/>
          <w:lang w:val="en-US"/>
        </w:rPr>
        <w:lastRenderedPageBreak/>
        <w:t xml:space="preserve">This normally requires the patient’s consent </w:t>
      </w:r>
      <w:r w:rsidRPr="00923EB1" w:rsidR="700250AD">
        <w:rPr>
          <w:rFonts w:ascii="Arial" w:hAnsi="Arial" w:cs="Arial"/>
          <w:lang w:val="en-US"/>
        </w:rPr>
        <w:t xml:space="preserve">but, in some </w:t>
      </w:r>
      <w:r w:rsidRPr="00923EB1" w:rsidR="2F2D4E4A">
        <w:rPr>
          <w:rFonts w:ascii="Arial" w:hAnsi="Arial" w:cs="Arial"/>
          <w:lang w:val="en-US"/>
        </w:rPr>
        <w:t>circumstances,</w:t>
      </w:r>
      <w:r w:rsidRPr="00923EB1">
        <w:rPr>
          <w:rFonts w:ascii="Arial" w:hAnsi="Arial" w:cs="Arial"/>
          <w:lang w:val="en-US"/>
        </w:rPr>
        <w:t xml:space="preserve"> where the patient is not able to consent, the practice may make the decision to allow proxy access if it is clearly in the best interests of the patient. The decision is made more easily if the patient made an advanced decision to allow a named individual to have proxy access when their health deteriorated when they are no longer able to manage their own healthcare, or if the proxy has a lasting or enduring power of attorney or is a Court Appointed Deputy. It is also possible to allow proxy access for a child up to their 11th birthday to someone who has parental responsibility for the child.</w:t>
      </w:r>
    </w:p>
    <w:p w:rsidRPr="00136540" w:rsidR="00142A2D" w:rsidP="00733804" w:rsidRDefault="00F13B98" w14:paraId="340ABF8D" w14:textId="770849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136540">
        <w:rPr>
          <w:rFonts w:ascii="Arial" w:hAnsi="Arial" w:cs="Arial"/>
          <w:lang w:val="en-US"/>
        </w:rPr>
        <w:t xml:space="preserve">Where proxy access is being considered for direct care by health professionals with a legitimate relationship with the patient, access should only be named individuals and a data sharing agreement should be completed by the practice and the health professional or their </w:t>
      </w:r>
      <w:proofErr w:type="spellStart"/>
      <w:r w:rsidRPr="00136540">
        <w:rPr>
          <w:rFonts w:ascii="Arial" w:hAnsi="Arial" w:cs="Arial"/>
          <w:lang w:val="en-US"/>
        </w:rPr>
        <w:t>organisation</w:t>
      </w:r>
      <w:proofErr w:type="spellEnd"/>
      <w:r w:rsidR="00923EB1">
        <w:rPr>
          <w:rFonts w:ascii="Arial" w:hAnsi="Arial" w:cs="Arial"/>
          <w:lang w:val="en-US"/>
        </w:rPr>
        <w:t>.</w:t>
      </w:r>
    </w:p>
    <w:p w:rsidRPr="00136540" w:rsidR="00142A2D" w:rsidP="00733804" w:rsidRDefault="00F13B98" w14:paraId="1B634F87" w14:textId="3BE229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6EBA0D59">
        <w:rPr>
          <w:rFonts w:ascii="Arial" w:hAnsi="Arial" w:cs="Arial"/>
          <w:b/>
          <w:bCs/>
          <w:lang w:val="en-US"/>
        </w:rPr>
        <w:t>Children</w:t>
      </w:r>
      <w:r w:rsidRPr="6EBA0D59">
        <w:rPr>
          <w:rFonts w:ascii="Arial" w:hAnsi="Arial" w:cs="Arial"/>
          <w:lang w:val="en-US"/>
        </w:rPr>
        <w:t xml:space="preserve"> - It is also possible to allow proxy access for a child up to their 11th birthday to someone who has parental responsibility for the child. As young people mature into their teens, there may be something that they do not want their parents to know about. parental access to them may inhibit their use of health services. To avoid this, you should switch off parental proxy access to a child’s </w:t>
      </w:r>
      <w:r w:rsidRPr="6EBA0D59" w:rsidR="00CA00DD">
        <w:rPr>
          <w:rFonts w:ascii="Arial" w:hAnsi="Arial" w:cs="Arial"/>
          <w:lang w:val="en-US"/>
        </w:rPr>
        <w:t>GP Online Services</w:t>
      </w:r>
      <w:r w:rsidRPr="6EBA0D59">
        <w:rPr>
          <w:rFonts w:ascii="Arial" w:hAnsi="Arial" w:cs="Arial"/>
          <w:lang w:val="en-US"/>
        </w:rPr>
        <w:t xml:space="preserve"> on their 11th birthday. It is helpful to write to a patient’s parents six months earlier to tell them that it will happen. This gives them time to ask the practice if they feel that their child would benefit from continued proxy access.</w:t>
      </w:r>
    </w:p>
    <w:p w:rsidRPr="00645E78" w:rsidR="00142A2D" w:rsidP="00733804" w:rsidRDefault="00645E78" w14:paraId="4BEEB693" w14:textId="08636D17">
      <w:pPr>
        <w:pStyle w:val="Default"/>
        <w:widowControl w:val="0"/>
        <w:spacing w:before="120" w:line="288" w:lineRule="auto"/>
        <w:rPr>
          <w:rFonts w:ascii="Arial" w:hAnsi="Arial" w:cs="Arial"/>
          <w:color w:val="auto"/>
          <w:lang w:val="en-US"/>
        </w:rPr>
      </w:pPr>
      <w:r w:rsidRPr="00645E78">
        <w:rPr>
          <w:rFonts w:ascii="Webdings" w:hAnsi="Webdings" w:eastAsia="Calibri" w:cs="Arial"/>
          <w:color w:val="auto"/>
        </w:rPr>
        <w:t>i</w:t>
      </w:r>
      <w:r w:rsidRPr="00645E78">
        <w:rPr>
          <w:rFonts w:ascii="Arial" w:hAnsi="Arial" w:cs="Arial"/>
          <w:color w:val="auto"/>
          <w:lang w:val="en-US"/>
        </w:rPr>
        <w:t xml:space="preserve"> </w:t>
      </w:r>
      <w:r w:rsidRPr="00645E78" w:rsidR="00F13B98">
        <w:rPr>
          <w:rFonts w:ascii="Arial" w:hAnsi="Arial" w:cs="Arial"/>
          <w:color w:val="auto"/>
          <w:lang w:val="en-US"/>
        </w:rPr>
        <w:t xml:space="preserve">There is </w:t>
      </w:r>
      <w:r w:rsidRPr="00645E78" w:rsidR="00E012AE">
        <w:rPr>
          <w:rFonts w:ascii="Arial" w:hAnsi="Arial" w:cs="Arial"/>
          <w:color w:val="auto"/>
          <w:lang w:val="en-US"/>
        </w:rPr>
        <w:t>specific guidance on</w:t>
      </w:r>
      <w:r w:rsidRPr="00645E78" w:rsidR="00F13B98">
        <w:rPr>
          <w:rFonts w:ascii="Arial" w:hAnsi="Arial" w:cs="Arial"/>
          <w:color w:val="auto"/>
          <w:lang w:val="en-US"/>
        </w:rPr>
        <w:t xml:space="preserve"> </w:t>
      </w:r>
      <w:r w:rsidRPr="00645E78" w:rsidR="00E012AE">
        <w:rPr>
          <w:rFonts w:ascii="Arial" w:hAnsi="Arial" w:cs="Arial"/>
          <w:color w:val="auto"/>
          <w:lang w:val="en-US"/>
        </w:rPr>
        <w:t>“</w:t>
      </w:r>
      <w:r w:rsidRPr="00645E78" w:rsidR="00F13B98">
        <w:rPr>
          <w:rFonts w:ascii="Arial" w:hAnsi="Arial" w:cs="Arial"/>
          <w:color w:val="auto"/>
          <w:lang w:val="en-US"/>
        </w:rPr>
        <w:t xml:space="preserve">Proxy </w:t>
      </w:r>
      <w:r w:rsidRPr="00645E78" w:rsidR="00E012AE">
        <w:rPr>
          <w:rFonts w:ascii="Arial" w:hAnsi="Arial" w:cs="Arial"/>
          <w:color w:val="auto"/>
          <w:lang w:val="en-US"/>
        </w:rPr>
        <w:t>Access”, and</w:t>
      </w:r>
      <w:r w:rsidRPr="00645E78" w:rsidR="00F13B98">
        <w:rPr>
          <w:rFonts w:ascii="Arial" w:hAnsi="Arial" w:cs="Arial"/>
          <w:color w:val="auto"/>
          <w:lang w:val="en-US"/>
        </w:rPr>
        <w:t xml:space="preserve"> the </w:t>
      </w:r>
      <w:r w:rsidRPr="00645E78" w:rsidR="00E012AE">
        <w:rPr>
          <w:rFonts w:ascii="Arial" w:hAnsi="Arial" w:cs="Arial"/>
          <w:color w:val="auto"/>
          <w:lang w:val="en-US"/>
        </w:rPr>
        <w:t>“</w:t>
      </w:r>
      <w:r w:rsidRPr="00645E78" w:rsidR="00F13B98">
        <w:rPr>
          <w:rFonts w:ascii="Arial" w:hAnsi="Arial" w:cs="Arial"/>
          <w:color w:val="auto"/>
          <w:lang w:val="en-US"/>
        </w:rPr>
        <w:t>Children and Young People</w:t>
      </w:r>
      <w:r w:rsidRPr="00645E78" w:rsidR="00E012AE">
        <w:rPr>
          <w:rFonts w:ascii="Arial" w:hAnsi="Arial" w:cs="Arial"/>
          <w:color w:val="auto"/>
          <w:lang w:val="en-US"/>
        </w:rPr>
        <w:t>”</w:t>
      </w:r>
      <w:r w:rsidRPr="00645E78" w:rsidR="00F13B98">
        <w:rPr>
          <w:rFonts w:ascii="Arial" w:hAnsi="Arial" w:cs="Arial"/>
          <w:color w:val="auto"/>
          <w:lang w:val="en-US"/>
        </w:rPr>
        <w:t xml:space="preserve"> </w:t>
      </w:r>
      <w:r w:rsidRPr="00645E78" w:rsidR="00E012AE">
        <w:rPr>
          <w:rFonts w:ascii="Arial" w:hAnsi="Arial" w:cs="Arial"/>
          <w:color w:val="auto"/>
          <w:lang w:val="en-US"/>
        </w:rPr>
        <w:t>in the Toolkit</w:t>
      </w:r>
      <w:r w:rsidRPr="00645E78" w:rsidR="00F13B98">
        <w:rPr>
          <w:rFonts w:ascii="Arial" w:hAnsi="Arial" w:cs="Arial"/>
          <w:color w:val="auto"/>
          <w:lang w:val="en-US"/>
        </w:rPr>
        <w:t xml:space="preserve">. There is information about sharing </w:t>
      </w:r>
      <w:r w:rsidRPr="00645E78" w:rsidR="00CA00DD">
        <w:rPr>
          <w:rFonts w:ascii="Arial" w:hAnsi="Arial" w:cs="Arial"/>
          <w:color w:val="auto"/>
          <w:lang w:val="en-US"/>
        </w:rPr>
        <w:t xml:space="preserve">GP </w:t>
      </w:r>
      <w:r w:rsidRPr="00645E78" w:rsidR="00E012AE">
        <w:rPr>
          <w:rFonts w:ascii="Arial" w:hAnsi="Arial" w:cs="Arial"/>
          <w:color w:val="auto"/>
          <w:lang w:val="en-US"/>
        </w:rPr>
        <w:t>record</w:t>
      </w:r>
      <w:r w:rsidRPr="00645E78" w:rsidR="00F13B98">
        <w:rPr>
          <w:rFonts w:ascii="Arial" w:hAnsi="Arial" w:cs="Arial"/>
          <w:color w:val="auto"/>
          <w:lang w:val="en-US"/>
        </w:rPr>
        <w:t xml:space="preserve"> access for direct care with </w:t>
      </w:r>
      <w:proofErr w:type="spellStart"/>
      <w:r w:rsidRPr="00645E78" w:rsidR="00F13B98">
        <w:rPr>
          <w:rFonts w:ascii="Arial" w:hAnsi="Arial" w:cs="Arial"/>
          <w:color w:val="auto"/>
          <w:lang w:val="en-US"/>
        </w:rPr>
        <w:t>organisations</w:t>
      </w:r>
      <w:proofErr w:type="spellEnd"/>
      <w:r w:rsidRPr="00645E78" w:rsidR="00F13B98">
        <w:rPr>
          <w:rFonts w:ascii="Arial" w:hAnsi="Arial" w:cs="Arial"/>
          <w:color w:val="auto"/>
          <w:lang w:val="en-US"/>
        </w:rPr>
        <w:t xml:space="preserve"> such as nursing homes in the </w:t>
      </w:r>
      <w:r w:rsidRPr="00645E78" w:rsidR="00E012AE">
        <w:rPr>
          <w:rFonts w:ascii="Arial" w:hAnsi="Arial" w:cs="Arial"/>
          <w:color w:val="auto"/>
          <w:lang w:val="en-US"/>
        </w:rPr>
        <w:t>“</w:t>
      </w:r>
      <w:r w:rsidRPr="00645E78" w:rsidR="00F13B98">
        <w:rPr>
          <w:rFonts w:ascii="Arial" w:hAnsi="Arial" w:cs="Arial"/>
          <w:color w:val="auto"/>
          <w:lang w:val="en-US"/>
        </w:rPr>
        <w:t>Dementia</w:t>
      </w:r>
      <w:r w:rsidRPr="00645E78" w:rsidR="00E012AE">
        <w:rPr>
          <w:rFonts w:ascii="Arial" w:hAnsi="Arial" w:cs="Arial"/>
          <w:color w:val="auto"/>
          <w:lang w:val="en-US"/>
        </w:rPr>
        <w:t>”</w:t>
      </w:r>
      <w:r w:rsidRPr="00645E78" w:rsidR="00F13B98">
        <w:rPr>
          <w:rFonts w:ascii="Arial" w:hAnsi="Arial" w:cs="Arial"/>
          <w:color w:val="auto"/>
          <w:lang w:val="en-US"/>
        </w:rPr>
        <w:t xml:space="preserve"> guidance in the Toolkit. </w:t>
      </w:r>
      <w:r w:rsidRPr="00645E78" w:rsidR="00E012AE">
        <w:rPr>
          <w:rFonts w:ascii="Arial" w:hAnsi="Arial" w:cs="Arial"/>
          <w:color w:val="auto"/>
          <w:lang w:val="en-US"/>
        </w:rPr>
        <w:t xml:space="preserve"> </w:t>
      </w:r>
      <w:r w:rsidRPr="00645E78" w:rsidR="00F13B98">
        <w:rPr>
          <w:rFonts w:ascii="Arial" w:hAnsi="Arial" w:cs="Arial"/>
          <w:color w:val="auto"/>
          <w:lang w:val="en-US"/>
        </w:rPr>
        <w:t xml:space="preserve">There is also a template consent form in the Toolkit that you can use to record the patient’s consent to their proxy receiving access to their </w:t>
      </w:r>
      <w:r w:rsidRPr="00645E78" w:rsidR="00CA00DD">
        <w:rPr>
          <w:rFonts w:ascii="Arial" w:hAnsi="Arial" w:cs="Arial"/>
          <w:color w:val="auto"/>
          <w:lang w:val="en-US"/>
        </w:rPr>
        <w:t>GP Online Services</w:t>
      </w:r>
      <w:r w:rsidRPr="00645E78" w:rsidR="00F13B98">
        <w:rPr>
          <w:rFonts w:ascii="Arial" w:hAnsi="Arial" w:cs="Arial"/>
          <w:color w:val="auto"/>
          <w:lang w:val="en-US"/>
        </w:rPr>
        <w:t xml:space="preserve">. </w:t>
      </w:r>
    </w:p>
    <w:p w:rsidRPr="00136540" w:rsidR="00142A2D" w:rsidP="00733804" w:rsidRDefault="00142A2D" w14:paraId="1FDEF8A6"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b/>
          <w:bCs/>
          <w:color w:val="005392"/>
          <w:sz w:val="24"/>
          <w:szCs w:val="24"/>
          <w:lang w:val="en-US"/>
        </w:rPr>
      </w:pPr>
    </w:p>
    <w:p w:rsidRPr="00BE2F58" w:rsidR="00142A2D" w:rsidP="00BE2F58" w:rsidRDefault="00F13B98" w14:paraId="47F5CA93" w14:textId="4050A06E">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284"/>
        <w:rPr>
          <w:rFonts w:ascii="Lato" w:hAnsi="Lato" w:cs="Arial"/>
          <w:b/>
          <w:bCs/>
          <w:color w:val="000000" w:themeColor="text1"/>
          <w:sz w:val="32"/>
          <w:szCs w:val="32"/>
        </w:rPr>
      </w:pPr>
      <w:r w:rsidRPr="00BE2F58">
        <w:rPr>
          <w:rFonts w:ascii="Lato" w:hAnsi="Lato" w:cs="Arial"/>
          <w:b/>
          <w:bCs/>
          <w:color w:val="000000" w:themeColor="text1"/>
          <w:sz w:val="32"/>
          <w:szCs w:val="32"/>
          <w:lang w:val="en-US"/>
        </w:rPr>
        <w:t xml:space="preserve">Patients who already have </w:t>
      </w:r>
      <w:r w:rsidRPr="00BE2F58" w:rsidR="0068715F">
        <w:rPr>
          <w:rFonts w:ascii="Lato" w:hAnsi="Lato" w:cs="Arial"/>
          <w:b/>
          <w:bCs/>
          <w:color w:val="000000" w:themeColor="text1"/>
          <w:sz w:val="32"/>
          <w:szCs w:val="32"/>
          <w:lang w:val="en-US"/>
        </w:rPr>
        <w:t>access to the practice</w:t>
      </w:r>
      <w:r w:rsidRPr="00BE2F58" w:rsidR="00CA00DD">
        <w:rPr>
          <w:rFonts w:ascii="Lato" w:hAnsi="Lato" w:cs="Arial"/>
          <w:b/>
          <w:bCs/>
          <w:color w:val="000000" w:themeColor="text1"/>
          <w:sz w:val="32"/>
          <w:szCs w:val="32"/>
          <w:lang w:val="en-US"/>
        </w:rPr>
        <w:t xml:space="preserve"> </w:t>
      </w:r>
      <w:r w:rsidRPr="00BE2F58" w:rsidR="0068715F">
        <w:rPr>
          <w:rFonts w:ascii="Lato" w:hAnsi="Lato" w:cs="Arial"/>
          <w:b/>
          <w:bCs/>
          <w:color w:val="000000" w:themeColor="text1"/>
          <w:sz w:val="32"/>
          <w:szCs w:val="32"/>
          <w:lang w:val="en-US"/>
        </w:rPr>
        <w:t>o</w:t>
      </w:r>
      <w:r w:rsidRPr="00BE2F58" w:rsidR="00CA00DD">
        <w:rPr>
          <w:rFonts w:ascii="Lato" w:hAnsi="Lato" w:cs="Arial"/>
          <w:b/>
          <w:bCs/>
          <w:color w:val="000000" w:themeColor="text1"/>
          <w:sz w:val="32"/>
          <w:szCs w:val="32"/>
          <w:lang w:val="en-US"/>
        </w:rPr>
        <w:t xml:space="preserve">nline </w:t>
      </w:r>
      <w:r w:rsidRPr="00BE2F58" w:rsidR="0068715F">
        <w:rPr>
          <w:rFonts w:ascii="Lato" w:hAnsi="Lato" w:cs="Arial"/>
          <w:b/>
          <w:bCs/>
          <w:color w:val="000000" w:themeColor="text1"/>
          <w:sz w:val="32"/>
          <w:szCs w:val="32"/>
          <w:lang w:val="en-US"/>
        </w:rPr>
        <w:t>s</w:t>
      </w:r>
      <w:r w:rsidRPr="00BE2F58" w:rsidR="00CA00DD">
        <w:rPr>
          <w:rFonts w:ascii="Lato" w:hAnsi="Lato" w:cs="Arial"/>
          <w:b/>
          <w:bCs/>
          <w:color w:val="000000" w:themeColor="text1"/>
          <w:sz w:val="32"/>
          <w:szCs w:val="32"/>
          <w:lang w:val="en-US"/>
        </w:rPr>
        <w:t>ervice</w:t>
      </w:r>
      <w:r w:rsidRPr="00BE2F58" w:rsidR="0068715F">
        <w:rPr>
          <w:rFonts w:ascii="Lato" w:hAnsi="Lato" w:cs="Arial"/>
          <w:b/>
          <w:bCs/>
          <w:color w:val="000000" w:themeColor="text1"/>
          <w:sz w:val="32"/>
          <w:szCs w:val="32"/>
          <w:lang w:val="en-US"/>
        </w:rPr>
        <w:t>s</w:t>
      </w:r>
    </w:p>
    <w:p w:rsidRPr="00D66C78" w:rsidR="00142A2D" w:rsidP="0068715F" w:rsidRDefault="00F13B98" w14:paraId="3B69542D" w14:textId="188C3F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13757D61">
        <w:rPr>
          <w:rFonts w:ascii="Arial" w:hAnsi="Arial" w:cs="Arial"/>
          <w:lang w:val="en-US"/>
        </w:rPr>
        <w:t>Practices have a continuing responsibility for patients who have active GP Online Service</w:t>
      </w:r>
      <w:r w:rsidRPr="13757D61" w:rsidR="3B656C9E">
        <w:rPr>
          <w:rFonts w:ascii="Arial" w:hAnsi="Arial" w:cs="Arial"/>
          <w:lang w:val="en-US"/>
        </w:rPr>
        <w:t>s</w:t>
      </w:r>
      <w:r w:rsidRPr="13757D61">
        <w:rPr>
          <w:rFonts w:ascii="Arial" w:hAnsi="Arial" w:cs="Arial"/>
          <w:lang w:val="en-US"/>
        </w:rPr>
        <w:t xml:space="preserve"> access. </w:t>
      </w:r>
    </w:p>
    <w:p w:rsidRPr="00F17EC7" w:rsidR="009769ED" w:rsidP="00F17EC7" w:rsidRDefault="00F13B98" w14:paraId="3BE0683E" w14:textId="4F9DBB76">
      <w:pPr>
        <w:spacing w:before="120" w:line="288" w:lineRule="auto"/>
        <w:rPr>
          <w:rFonts w:ascii="Arial" w:hAnsi="Arial" w:eastAsia="Arial" w:cs="Arial"/>
          <w:color w:val="000000"/>
          <w:sz w:val="22"/>
          <w:szCs w:val="22"/>
        </w:rPr>
      </w:pPr>
      <w:r w:rsidRPr="13757D61">
        <w:rPr>
          <w:rFonts w:ascii="Arial" w:hAnsi="Arial" w:cs="Arial"/>
          <w:b/>
          <w:bCs/>
          <w:sz w:val="22"/>
          <w:szCs w:val="22"/>
        </w:rPr>
        <w:t>Safeguarding</w:t>
      </w:r>
      <w:r w:rsidRPr="13757D61">
        <w:rPr>
          <w:rFonts w:ascii="Arial" w:hAnsi="Arial" w:cs="Arial"/>
          <w:sz w:val="22"/>
          <w:szCs w:val="22"/>
        </w:rPr>
        <w:t xml:space="preserve"> - It is </w:t>
      </w:r>
      <w:r w:rsidRPr="13757D61" w:rsidR="00A06B00">
        <w:rPr>
          <w:rFonts w:ascii="Arial" w:hAnsi="Arial" w:cs="Arial"/>
          <w:sz w:val="22"/>
          <w:szCs w:val="22"/>
        </w:rPr>
        <w:t>important</w:t>
      </w:r>
      <w:r w:rsidRPr="13757D61">
        <w:rPr>
          <w:rFonts w:ascii="Arial" w:hAnsi="Arial" w:cs="Arial"/>
          <w:sz w:val="22"/>
          <w:szCs w:val="22"/>
        </w:rPr>
        <w:t xml:space="preserve"> to be aware of the risk to vulnerable patients where access to their GP</w:t>
      </w:r>
      <w:r w:rsidRPr="13757D61" w:rsidR="004545AC">
        <w:rPr>
          <w:rFonts w:ascii="Arial" w:hAnsi="Arial" w:cs="Arial"/>
          <w:sz w:val="22"/>
          <w:szCs w:val="22"/>
        </w:rPr>
        <w:t xml:space="preserve"> </w:t>
      </w:r>
      <w:r w:rsidRPr="13757D61" w:rsidR="0F99273A">
        <w:rPr>
          <w:rFonts w:ascii="Arial" w:hAnsi="Arial" w:cs="Arial"/>
          <w:sz w:val="22"/>
          <w:szCs w:val="22"/>
        </w:rPr>
        <w:t>O</w:t>
      </w:r>
      <w:r w:rsidRPr="13757D61" w:rsidR="004545AC">
        <w:rPr>
          <w:rFonts w:ascii="Arial" w:hAnsi="Arial" w:cs="Arial"/>
          <w:sz w:val="22"/>
          <w:szCs w:val="22"/>
        </w:rPr>
        <w:t>nline</w:t>
      </w:r>
      <w:r w:rsidRPr="13757D61">
        <w:rPr>
          <w:rFonts w:ascii="Arial" w:hAnsi="Arial" w:cs="Arial"/>
          <w:sz w:val="22"/>
          <w:szCs w:val="22"/>
        </w:rPr>
        <w:t xml:space="preserve"> </w:t>
      </w:r>
      <w:r w:rsidRPr="13757D61" w:rsidR="0B436693">
        <w:rPr>
          <w:rFonts w:ascii="Arial" w:hAnsi="Arial" w:cs="Arial"/>
          <w:sz w:val="22"/>
          <w:szCs w:val="22"/>
        </w:rPr>
        <w:t>S</w:t>
      </w:r>
      <w:r w:rsidRPr="13757D61">
        <w:rPr>
          <w:rFonts w:ascii="Arial" w:hAnsi="Arial" w:cs="Arial"/>
          <w:sz w:val="22"/>
          <w:szCs w:val="22"/>
        </w:rPr>
        <w:t xml:space="preserve">ervices may be used by someone as part of a pattern of abuse. </w:t>
      </w:r>
      <w:r w:rsidRPr="13757D61" w:rsidR="00F17EC7">
        <w:rPr>
          <w:rFonts w:ascii="Arial" w:hAnsi="Arial" w:cs="Arial"/>
          <w:sz w:val="22"/>
          <w:szCs w:val="22"/>
        </w:rPr>
        <w:t xml:space="preserve"> </w:t>
      </w:r>
      <w:r w:rsidRPr="13757D61">
        <w:rPr>
          <w:rFonts w:ascii="Arial" w:hAnsi="Arial" w:cs="Arial"/>
          <w:sz w:val="22"/>
          <w:szCs w:val="22"/>
        </w:rPr>
        <w:t xml:space="preserve">If a safeguarding risk arises or is suspected, or where there is suspicion that a patient may be subject to coercion to allow someone to have access to their </w:t>
      </w:r>
      <w:r w:rsidRPr="13757D61" w:rsidR="00F17EC7">
        <w:rPr>
          <w:rFonts w:ascii="Arial" w:hAnsi="Arial" w:cs="Arial"/>
          <w:sz w:val="22"/>
          <w:szCs w:val="22"/>
        </w:rPr>
        <w:t>o</w:t>
      </w:r>
      <w:r w:rsidRPr="13757D61" w:rsidR="00CA00DD">
        <w:rPr>
          <w:rFonts w:ascii="Arial" w:hAnsi="Arial" w:cs="Arial"/>
          <w:sz w:val="22"/>
          <w:szCs w:val="22"/>
        </w:rPr>
        <w:t xml:space="preserve">nline </w:t>
      </w:r>
      <w:r w:rsidRPr="13757D61" w:rsidR="00F17EC7">
        <w:rPr>
          <w:rFonts w:ascii="Arial" w:hAnsi="Arial" w:cs="Arial"/>
          <w:sz w:val="22"/>
          <w:szCs w:val="22"/>
        </w:rPr>
        <w:t>s</w:t>
      </w:r>
      <w:r w:rsidRPr="13757D61" w:rsidR="00CA00DD">
        <w:rPr>
          <w:rFonts w:ascii="Arial" w:hAnsi="Arial" w:cs="Arial"/>
          <w:sz w:val="22"/>
          <w:szCs w:val="22"/>
        </w:rPr>
        <w:t>ervices</w:t>
      </w:r>
      <w:r w:rsidRPr="13757D61">
        <w:rPr>
          <w:rFonts w:ascii="Arial" w:hAnsi="Arial" w:cs="Arial"/>
          <w:sz w:val="22"/>
          <w:szCs w:val="22"/>
        </w:rPr>
        <w:t xml:space="preserve"> unwillingly, the practice will </w:t>
      </w:r>
      <w:r w:rsidRPr="13757D61" w:rsidR="001B1A47">
        <w:rPr>
          <w:rFonts w:ascii="Arial" w:hAnsi="Arial" w:cs="Arial"/>
          <w:sz w:val="22"/>
          <w:szCs w:val="22"/>
        </w:rPr>
        <w:t>review</w:t>
      </w:r>
      <w:r w:rsidRPr="13757D61" w:rsidR="00EA23EB">
        <w:rPr>
          <w:rFonts w:ascii="Arial" w:hAnsi="Arial" w:cs="Arial"/>
          <w:sz w:val="22"/>
          <w:szCs w:val="22"/>
        </w:rPr>
        <w:t xml:space="preserve"> access</w:t>
      </w:r>
      <w:r w:rsidRPr="13757D61">
        <w:rPr>
          <w:rFonts w:ascii="Arial" w:hAnsi="Arial" w:cs="Arial"/>
          <w:sz w:val="22"/>
          <w:szCs w:val="22"/>
        </w:rPr>
        <w:t xml:space="preserve"> </w:t>
      </w:r>
      <w:r w:rsidRPr="13757D61" w:rsidR="00632086">
        <w:rPr>
          <w:rFonts w:ascii="Arial" w:hAnsi="Arial" w:eastAsia="Arial" w:cs="Arial"/>
          <w:color w:val="000000" w:themeColor="text1"/>
          <w:sz w:val="22"/>
          <w:szCs w:val="22"/>
        </w:rPr>
        <w:t>It may be necessary to disable some services entirely or it may be possible to limit access, for example by restricting record access but continuing to allow access to appointments and prescriptions.</w:t>
      </w:r>
    </w:p>
    <w:p w:rsidRPr="00D66C78" w:rsidR="00142A2D" w:rsidP="00733804" w:rsidRDefault="00F13B98" w14:paraId="6D8A99D7" w14:textId="6F1354C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00D66C78">
        <w:rPr>
          <w:rFonts w:ascii="Arial" w:hAnsi="Arial" w:cs="Arial"/>
          <w:b/>
          <w:bCs/>
          <w:lang w:val="en-US"/>
        </w:rPr>
        <w:t>Record data quality</w:t>
      </w:r>
      <w:r w:rsidRPr="00D66C78">
        <w:rPr>
          <w:rFonts w:ascii="Arial" w:hAnsi="Arial" w:cs="Arial"/>
          <w:lang w:val="en-US"/>
        </w:rPr>
        <w:t xml:space="preserve"> - Patients appreciate high quality, complete, accurate and unambiguous record data that clearly represents their health history. </w:t>
      </w:r>
      <w:r w:rsidR="00F17EC7">
        <w:rPr>
          <w:rFonts w:ascii="Arial" w:hAnsi="Arial" w:cs="Arial"/>
          <w:lang w:val="en-US"/>
        </w:rPr>
        <w:t xml:space="preserve"> </w:t>
      </w:r>
      <w:r w:rsidRPr="00D66C78">
        <w:rPr>
          <w:rFonts w:ascii="Arial" w:hAnsi="Arial" w:cs="Arial"/>
          <w:lang w:val="en-US"/>
        </w:rPr>
        <w:t>S</w:t>
      </w:r>
      <w:r w:rsidRPr="00D66C78">
        <w:rPr>
          <w:rFonts w:ascii="Arial" w:hAnsi="Arial" w:cs="Arial"/>
          <w:u w:color="000000"/>
          <w:lang w:val="en-US"/>
        </w:rPr>
        <w:t xml:space="preserve">taff should take care to avoid the use of abbreviations and euphemisms that may be misunderstood by patients and avoid recording third-party data. </w:t>
      </w:r>
      <w:r w:rsidRPr="00D66C78">
        <w:rPr>
          <w:rFonts w:ascii="Arial" w:hAnsi="Arial" w:cs="Arial"/>
          <w:lang w:val="en-US"/>
        </w:rPr>
        <w:t xml:space="preserve">It is not always easy to know if a patient has online record access and it is impossible to know who may have access in the future. </w:t>
      </w:r>
      <w:r w:rsidR="00F17EC7">
        <w:rPr>
          <w:rFonts w:ascii="Arial" w:hAnsi="Arial" w:cs="Arial"/>
          <w:lang w:val="en-US"/>
        </w:rPr>
        <w:t xml:space="preserve"> </w:t>
      </w:r>
      <w:r w:rsidRPr="00D66C78">
        <w:rPr>
          <w:rFonts w:ascii="Arial" w:hAnsi="Arial" w:cs="Arial"/>
          <w:lang w:val="en-US"/>
        </w:rPr>
        <w:t xml:space="preserve">Consider ensuring that all clinical records are fit for sharing with patients. </w:t>
      </w:r>
      <w:r w:rsidR="00F17EC7">
        <w:rPr>
          <w:rFonts w:ascii="Arial" w:hAnsi="Arial" w:cs="Arial"/>
          <w:lang w:val="en-US"/>
        </w:rPr>
        <w:t xml:space="preserve"> </w:t>
      </w:r>
      <w:r w:rsidRPr="00D66C78">
        <w:rPr>
          <w:rFonts w:ascii="Arial" w:hAnsi="Arial" w:cs="Arial"/>
          <w:lang w:val="en-US"/>
        </w:rPr>
        <w:t xml:space="preserve">This includes the redaction of any </w:t>
      </w:r>
      <w:r w:rsidRPr="00D66C78" w:rsidR="00823728">
        <w:rPr>
          <w:rFonts w:ascii="Arial" w:hAnsi="Arial" w:cs="Arial"/>
          <w:lang w:val="en-US"/>
        </w:rPr>
        <w:t>potentially harmful</w:t>
      </w:r>
      <w:r w:rsidRPr="00D66C78">
        <w:rPr>
          <w:rFonts w:ascii="Arial" w:hAnsi="Arial" w:cs="Arial"/>
          <w:lang w:val="en-US"/>
        </w:rPr>
        <w:t xml:space="preserve"> data that may harm the patient or reveal confidential information about a third person.</w:t>
      </w:r>
    </w:p>
    <w:p w:rsidRPr="00D66C78" w:rsidR="00142A2D" w:rsidP="00733804" w:rsidRDefault="00F13B98" w14:paraId="793CC9A2" w14:textId="2D1EF69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13757D61">
        <w:rPr>
          <w:rFonts w:ascii="Arial" w:hAnsi="Arial" w:cs="Arial"/>
          <w:lang w:val="en-US"/>
        </w:rPr>
        <w:t xml:space="preserve">Some data may be particularly harmful for patients who are subject to abuse. </w:t>
      </w:r>
      <w:r w:rsidRPr="13757D61" w:rsidR="00F17EC7">
        <w:rPr>
          <w:rFonts w:ascii="Arial" w:hAnsi="Arial" w:cs="Arial"/>
          <w:lang w:val="en-US"/>
        </w:rPr>
        <w:t xml:space="preserve"> </w:t>
      </w:r>
      <w:r w:rsidRPr="13757D61">
        <w:rPr>
          <w:rFonts w:ascii="Arial" w:hAnsi="Arial" w:cs="Arial"/>
          <w:lang w:val="en-US"/>
        </w:rPr>
        <w:t xml:space="preserve">Always consider redacting records that refer to any suspicion or actual abuse. </w:t>
      </w:r>
      <w:r w:rsidRPr="13757D61" w:rsidR="00F17EC7">
        <w:rPr>
          <w:rFonts w:ascii="Arial" w:hAnsi="Arial" w:cs="Arial"/>
          <w:lang w:val="en-US"/>
        </w:rPr>
        <w:t xml:space="preserve"> </w:t>
      </w:r>
      <w:r w:rsidRPr="13757D61">
        <w:rPr>
          <w:rFonts w:ascii="Arial" w:hAnsi="Arial" w:cs="Arial"/>
          <w:lang w:val="en-US"/>
        </w:rPr>
        <w:t>Data that is confidential information about a third</w:t>
      </w:r>
      <w:r w:rsidRPr="13757D61" w:rsidR="4E14FDA8">
        <w:rPr>
          <w:rFonts w:ascii="Arial" w:hAnsi="Arial" w:cs="Arial"/>
          <w:lang w:val="en-US"/>
        </w:rPr>
        <w:t>-</w:t>
      </w:r>
      <w:r w:rsidRPr="13757D61">
        <w:rPr>
          <w:rFonts w:ascii="Arial" w:hAnsi="Arial" w:cs="Arial"/>
          <w:lang w:val="en-US"/>
        </w:rPr>
        <w:t>party that the patient has no right to know should always be redacted.</w:t>
      </w:r>
      <w:r w:rsidRPr="13757D61" w:rsidR="00F17EC7">
        <w:rPr>
          <w:rFonts w:ascii="Arial" w:hAnsi="Arial" w:cs="Arial"/>
          <w:lang w:val="en-US"/>
        </w:rPr>
        <w:t xml:space="preserve"> </w:t>
      </w:r>
      <w:r w:rsidRPr="13757D61">
        <w:rPr>
          <w:rFonts w:ascii="Arial" w:hAnsi="Arial" w:cs="Arial"/>
          <w:lang w:val="en-US"/>
        </w:rPr>
        <w:t xml:space="preserve">If it is not possible to redact some </w:t>
      </w:r>
      <w:r w:rsidRPr="13757D61" w:rsidR="00823728">
        <w:rPr>
          <w:rFonts w:ascii="Arial" w:hAnsi="Arial" w:cs="Arial"/>
          <w:lang w:val="en-US"/>
        </w:rPr>
        <w:t>potentially harmful</w:t>
      </w:r>
      <w:r w:rsidRPr="13757D61">
        <w:rPr>
          <w:rFonts w:ascii="Arial" w:hAnsi="Arial" w:cs="Arial"/>
          <w:lang w:val="en-US"/>
        </w:rPr>
        <w:t xml:space="preserve"> </w:t>
      </w:r>
      <w:r w:rsidRPr="13757D61" w:rsidR="00364D81">
        <w:rPr>
          <w:rFonts w:ascii="Arial" w:hAnsi="Arial" w:cs="Arial"/>
          <w:lang w:val="en-US"/>
        </w:rPr>
        <w:t>data,</w:t>
      </w:r>
      <w:r w:rsidRPr="13757D61">
        <w:rPr>
          <w:rFonts w:ascii="Arial" w:hAnsi="Arial" w:cs="Arial"/>
          <w:lang w:val="en-US"/>
        </w:rPr>
        <w:t xml:space="preserve"> it may be best to refuse or restrict record access </w:t>
      </w:r>
      <w:r w:rsidRPr="13757D61">
        <w:rPr>
          <w:rFonts w:ascii="Arial" w:hAnsi="Arial" w:cs="Arial"/>
          <w:lang w:val="en-US"/>
        </w:rPr>
        <w:lastRenderedPageBreak/>
        <w:t xml:space="preserve">for that patient. </w:t>
      </w:r>
      <w:r w:rsidRPr="13757D61" w:rsidR="00F17EC7">
        <w:rPr>
          <w:rFonts w:ascii="Arial" w:hAnsi="Arial" w:cs="Arial"/>
          <w:lang w:val="en-US"/>
        </w:rPr>
        <w:t xml:space="preserve"> </w:t>
      </w:r>
      <w:r w:rsidRPr="13757D61">
        <w:rPr>
          <w:rFonts w:ascii="Arial" w:hAnsi="Arial" w:cs="Arial"/>
          <w:lang w:val="en-US"/>
        </w:rPr>
        <w:t>Abnormal test results can cause undue worry to patients if they see them online before they have had an opportunity to discuss them with a clinician. It is usually best to redact them until they can be discussed.</w:t>
      </w:r>
    </w:p>
    <w:p w:rsidRPr="00BE612E" w:rsidR="00142A2D" w:rsidP="00182287" w:rsidRDefault="00BE612E" w14:paraId="2C1047DC" w14:textId="0DCE5A16">
      <w:pPr>
        <w:pStyle w:val="Default"/>
        <w:widowControl w:val="0"/>
        <w:spacing w:before="120" w:line="288" w:lineRule="auto"/>
        <w:ind w:right="569"/>
        <w:rPr>
          <w:rFonts w:ascii="Arial" w:hAnsi="Arial" w:cs="Arial"/>
          <w:color w:val="auto"/>
          <w:lang w:val="en-US"/>
        </w:rPr>
      </w:pPr>
      <w:bookmarkStart w:name="_Hlk117249164" w:id="5"/>
      <w:r w:rsidRPr="00873819">
        <w:rPr>
          <w:rFonts w:ascii="Webdings" w:hAnsi="Webdings" w:eastAsia="Calibri" w:cs="Arial"/>
          <w:color w:val="auto"/>
        </w:rPr>
        <w:t>i</w:t>
      </w:r>
      <w:r w:rsidRPr="00BE612E">
        <w:rPr>
          <w:rFonts w:ascii="Arial" w:hAnsi="Arial" w:cs="Arial"/>
          <w:color w:val="auto"/>
          <w:lang w:val="en-US"/>
        </w:rPr>
        <w:t xml:space="preserve"> </w:t>
      </w:r>
      <w:bookmarkEnd w:id="5"/>
      <w:r w:rsidRPr="00BE612E" w:rsidR="7354A6D2">
        <w:rPr>
          <w:rFonts w:ascii="Arial" w:hAnsi="Arial" w:cs="Arial"/>
          <w:color w:val="auto"/>
          <w:lang w:val="en-US"/>
        </w:rPr>
        <w:t xml:space="preserve">There is more information on the management of data quality in the Data Quality guidance and </w:t>
      </w:r>
      <w:r w:rsidRPr="00BE612E" w:rsidR="059A1892">
        <w:rPr>
          <w:rFonts w:ascii="Arial" w:hAnsi="Arial" w:cs="Arial"/>
          <w:color w:val="auto"/>
          <w:lang w:val="en-US"/>
        </w:rPr>
        <w:t>potentially harmful</w:t>
      </w:r>
      <w:r w:rsidRPr="00BE612E" w:rsidR="7354A6D2">
        <w:rPr>
          <w:rFonts w:ascii="Arial" w:hAnsi="Arial" w:cs="Arial"/>
          <w:color w:val="auto"/>
          <w:lang w:val="en-US"/>
        </w:rPr>
        <w:t xml:space="preserve"> data in the guidance on </w:t>
      </w:r>
      <w:r w:rsidRPr="00BE612E" w:rsidR="000780E9">
        <w:rPr>
          <w:rFonts w:ascii="Arial" w:hAnsi="Arial" w:cs="Arial"/>
          <w:color w:val="auto"/>
          <w:lang w:val="en-US"/>
        </w:rPr>
        <w:t>“</w:t>
      </w:r>
      <w:r w:rsidRPr="00BE612E" w:rsidR="15D5AE7A">
        <w:rPr>
          <w:rFonts w:ascii="Arial" w:hAnsi="Arial" w:cs="Arial"/>
          <w:color w:val="auto"/>
          <w:lang w:val="en-US"/>
        </w:rPr>
        <w:t>Safeguarding</w:t>
      </w:r>
      <w:r w:rsidRPr="00BE612E" w:rsidR="000780E9">
        <w:rPr>
          <w:rFonts w:ascii="Arial" w:hAnsi="Arial" w:cs="Arial"/>
          <w:color w:val="auto"/>
          <w:lang w:val="en-US"/>
        </w:rPr>
        <w:t>”</w:t>
      </w:r>
      <w:r w:rsidRPr="00BE612E" w:rsidR="15D5AE7A">
        <w:rPr>
          <w:rFonts w:ascii="Arial" w:hAnsi="Arial" w:cs="Arial"/>
          <w:color w:val="auto"/>
          <w:lang w:val="en-US"/>
        </w:rPr>
        <w:t xml:space="preserve"> </w:t>
      </w:r>
      <w:r w:rsidRPr="00BE612E" w:rsidR="000780E9">
        <w:rPr>
          <w:rFonts w:ascii="Arial" w:hAnsi="Arial" w:cs="Arial"/>
          <w:color w:val="auto"/>
          <w:lang w:val="en-US"/>
        </w:rPr>
        <w:t>“</w:t>
      </w:r>
      <w:r w:rsidRPr="00BE612E" w:rsidR="7354A6D2">
        <w:rPr>
          <w:rFonts w:ascii="Arial" w:hAnsi="Arial" w:cs="Arial"/>
          <w:color w:val="auto"/>
          <w:lang w:val="en-US"/>
        </w:rPr>
        <w:t>Data Quality</w:t>
      </w:r>
      <w:r w:rsidRPr="00BE612E" w:rsidR="76B0DC0F">
        <w:rPr>
          <w:rFonts w:ascii="Arial" w:hAnsi="Arial" w:cs="Arial"/>
          <w:color w:val="auto"/>
          <w:lang w:val="en-US"/>
        </w:rPr>
        <w:t xml:space="preserve"> for Record Access</w:t>
      </w:r>
      <w:r w:rsidRPr="00BE612E" w:rsidR="000780E9">
        <w:rPr>
          <w:rFonts w:ascii="Arial" w:hAnsi="Arial" w:cs="Arial"/>
          <w:color w:val="auto"/>
          <w:lang w:val="en-US"/>
        </w:rPr>
        <w:t>”</w:t>
      </w:r>
      <w:r w:rsidRPr="00BE612E" w:rsidR="2F2D4E4A">
        <w:rPr>
          <w:rFonts w:ascii="Arial" w:hAnsi="Arial" w:cs="Arial"/>
          <w:color w:val="auto"/>
          <w:lang w:val="en-US"/>
        </w:rPr>
        <w:t xml:space="preserve">, </w:t>
      </w:r>
      <w:r w:rsidRPr="00BE612E" w:rsidR="00F17EC7">
        <w:rPr>
          <w:rFonts w:ascii="Arial" w:hAnsi="Arial" w:cs="Arial"/>
          <w:color w:val="auto"/>
          <w:lang w:val="en-US"/>
        </w:rPr>
        <w:t>“</w:t>
      </w:r>
      <w:r w:rsidRPr="00BE612E" w:rsidR="76B0DC0F">
        <w:rPr>
          <w:rFonts w:ascii="Arial" w:hAnsi="Arial" w:cs="Arial"/>
          <w:color w:val="auto"/>
          <w:lang w:val="en-US"/>
        </w:rPr>
        <w:t>Managing Potentially Harmful Information</w:t>
      </w:r>
      <w:r w:rsidRPr="00BE612E" w:rsidR="00F17EC7">
        <w:rPr>
          <w:rFonts w:ascii="Arial" w:hAnsi="Arial" w:cs="Arial"/>
          <w:color w:val="auto"/>
          <w:lang w:val="en-US"/>
        </w:rPr>
        <w:t>”</w:t>
      </w:r>
      <w:r w:rsidRPr="00BE612E" w:rsidR="2F2D4E4A">
        <w:rPr>
          <w:rFonts w:ascii="Arial" w:hAnsi="Arial" w:cs="Arial"/>
          <w:color w:val="auto"/>
          <w:lang w:val="en-US"/>
        </w:rPr>
        <w:t xml:space="preserve"> and </w:t>
      </w:r>
      <w:r w:rsidRPr="00BE612E" w:rsidR="76B0DC0F">
        <w:rPr>
          <w:rFonts w:ascii="Arial" w:hAnsi="Arial" w:cs="Arial"/>
          <w:color w:val="auto"/>
          <w:lang w:val="en-US"/>
        </w:rPr>
        <w:t>“</w:t>
      </w:r>
      <w:r w:rsidRPr="00BE612E" w:rsidR="2F2D4E4A">
        <w:rPr>
          <w:rFonts w:ascii="Arial" w:hAnsi="Arial" w:cs="Arial"/>
          <w:color w:val="auto"/>
          <w:lang w:val="en-US"/>
        </w:rPr>
        <w:t xml:space="preserve">Working with </w:t>
      </w:r>
      <w:r w:rsidRPr="00BE612E" w:rsidR="76B0DC0F">
        <w:rPr>
          <w:rFonts w:ascii="Arial" w:hAnsi="Arial" w:cs="Arial"/>
          <w:color w:val="auto"/>
          <w:lang w:val="en-US"/>
        </w:rPr>
        <w:t xml:space="preserve">Automatic Record Access” </w:t>
      </w:r>
      <w:r w:rsidRPr="00BE612E" w:rsidR="2F2D4E4A">
        <w:rPr>
          <w:rFonts w:ascii="Arial" w:hAnsi="Arial" w:cs="Arial"/>
          <w:color w:val="auto"/>
          <w:lang w:val="en-US"/>
        </w:rPr>
        <w:t xml:space="preserve">in the </w:t>
      </w:r>
      <w:r w:rsidRPr="00BE612E" w:rsidR="7354A6D2">
        <w:rPr>
          <w:rFonts w:ascii="Arial" w:hAnsi="Arial" w:cs="Arial"/>
          <w:color w:val="auto"/>
          <w:lang w:val="en-US"/>
        </w:rPr>
        <w:t>Toolkit.</w:t>
      </w:r>
    </w:p>
    <w:p w:rsidRPr="00136540" w:rsidR="00142A2D" w:rsidP="00733804" w:rsidRDefault="00142A2D" w14:paraId="07A18E14" w14:textId="77777777">
      <w:pPr>
        <w:pStyle w:val="Default"/>
        <w:widowControl w:val="0"/>
        <w:spacing w:before="120" w:line="288" w:lineRule="auto"/>
        <w:ind w:right="569"/>
        <w:rPr>
          <w:rFonts w:ascii="Arial" w:hAnsi="Arial" w:cs="Arial"/>
          <w:color w:val="008F51"/>
          <w:u w:color="000000"/>
          <w:lang w:val="en-US"/>
        </w:rPr>
      </w:pPr>
    </w:p>
    <w:p w:rsidRPr="00F17EC7" w:rsidR="00142A2D" w:rsidP="00BE2F58" w:rsidRDefault="7354A6D2" w14:paraId="5BD44FDC" w14:textId="19B8B5A7">
      <w:pPr>
        <w:pStyle w:val="Default"/>
        <w:numPr>
          <w:ilvl w:val="0"/>
          <w:numId w:val="16"/>
        </w:numPr>
        <w:spacing w:before="120" w:line="288" w:lineRule="auto"/>
        <w:ind w:left="284"/>
        <w:rPr>
          <w:rFonts w:ascii="Lato" w:hAnsi="Lato" w:cs="Arial"/>
          <w:color w:val="000000" w:themeColor="text1"/>
          <w:sz w:val="32"/>
          <w:szCs w:val="32"/>
          <w:lang w:val="en-US"/>
        </w:rPr>
      </w:pPr>
      <w:r w:rsidRPr="00F17EC7">
        <w:rPr>
          <w:rFonts w:ascii="Lato" w:hAnsi="Lato" w:cs="Arial"/>
          <w:color w:val="000000" w:themeColor="text1"/>
          <w:sz w:val="32"/>
          <w:szCs w:val="32"/>
          <w:lang w:val="en-US"/>
        </w:rPr>
        <w:t>Recording third-party data</w:t>
      </w:r>
    </w:p>
    <w:p w:rsidRPr="00136540" w:rsidR="00142A2D" w:rsidP="00733804" w:rsidRDefault="00F13B98" w14:paraId="7B088668" w14:textId="77777777">
      <w:pPr>
        <w:pStyle w:val="Default"/>
        <w:spacing w:before="120" w:line="288" w:lineRule="auto"/>
        <w:rPr>
          <w:rFonts w:ascii="Arial" w:hAnsi="Arial" w:cs="Arial"/>
          <w:u w:color="000000"/>
          <w:lang w:val="en-US"/>
        </w:rPr>
      </w:pPr>
      <w:r w:rsidRPr="00136540">
        <w:rPr>
          <w:rFonts w:ascii="Arial" w:hAnsi="Arial" w:cs="Arial"/>
          <w:u w:color="000000"/>
          <w:lang w:val="en-US"/>
        </w:rPr>
        <w:t>This is data received from a third-party or data about a third-party (</w:t>
      </w:r>
      <w:proofErr w:type="gramStart"/>
      <w:r w:rsidRPr="00136540">
        <w:rPr>
          <w:rFonts w:ascii="Arial" w:hAnsi="Arial" w:cs="Arial"/>
          <w:u w:color="000000"/>
          <w:lang w:val="en-US"/>
        </w:rPr>
        <w:t>e.g.</w:t>
      </w:r>
      <w:proofErr w:type="gramEnd"/>
      <w:r w:rsidRPr="00136540">
        <w:rPr>
          <w:rFonts w:ascii="Arial" w:hAnsi="Arial" w:cs="Arial"/>
          <w:u w:color="000000"/>
          <w:lang w:val="en-US"/>
        </w:rPr>
        <w:t xml:space="preserve"> agreed recorded family history data) recorded in the patient’s record; or consultation data, test results or scanned documents recorded by mistake in the wrong patient’s record. Disclosure may be a breach of data protection law and may result in harm or distress to the patient or breach the confidentiality of the third-party. </w:t>
      </w:r>
    </w:p>
    <w:p w:rsidRPr="00136540" w:rsidR="00142A2D" w:rsidP="00733804" w:rsidRDefault="00F13B98" w14:paraId="11193BAB" w14:textId="758A3DEE">
      <w:pPr>
        <w:pStyle w:val="Default"/>
        <w:spacing w:before="120" w:line="288" w:lineRule="auto"/>
        <w:rPr>
          <w:rFonts w:ascii="Arial" w:hAnsi="Arial" w:cs="Arial"/>
        </w:rPr>
      </w:pPr>
      <w:r w:rsidRPr="13757D61">
        <w:rPr>
          <w:rFonts w:ascii="Arial" w:hAnsi="Arial" w:cs="Arial"/>
          <w:lang w:val="en-US"/>
        </w:rPr>
        <w:t>Before recording anything about a third-party in a patient’s record, including identifying the source of information about the patient provided by a third</w:t>
      </w:r>
      <w:r w:rsidRPr="13757D61" w:rsidR="102A9BED">
        <w:rPr>
          <w:rFonts w:ascii="Arial" w:hAnsi="Arial" w:cs="Arial"/>
          <w:lang w:val="en-US"/>
        </w:rPr>
        <w:t>-</w:t>
      </w:r>
      <w:r w:rsidRPr="13757D61">
        <w:rPr>
          <w:rFonts w:ascii="Arial" w:hAnsi="Arial" w:cs="Arial"/>
          <w:lang w:val="en-US"/>
        </w:rPr>
        <w:t>party, you should discuss the possibility that the patient will see the information if they have access to their records. There are four steps that you can take:</w:t>
      </w:r>
    </w:p>
    <w:p w:rsidRPr="00D66C78" w:rsidR="00142A2D" w:rsidP="00F17EC7" w:rsidRDefault="00F13B98" w14:paraId="1012DA94" w14:textId="77777777">
      <w:pPr>
        <w:pStyle w:val="Default"/>
        <w:numPr>
          <w:ilvl w:val="0"/>
          <w:numId w:val="8"/>
        </w:numPr>
        <w:spacing w:before="60" w:line="288" w:lineRule="auto"/>
        <w:rPr>
          <w:rFonts w:ascii="Arial" w:hAnsi="Arial" w:cs="Arial"/>
          <w:u w:color="000000"/>
          <w:lang w:val="en-US"/>
        </w:rPr>
      </w:pPr>
      <w:r w:rsidRPr="00D66C78">
        <w:rPr>
          <w:rFonts w:ascii="Arial" w:hAnsi="Arial" w:cs="Arial"/>
          <w:u w:color="000000"/>
          <w:lang w:val="en-US"/>
        </w:rPr>
        <w:t>Ensure that the third-party understands that the patient may be able to infer the source of the information</w:t>
      </w:r>
    </w:p>
    <w:p w:rsidRPr="00D66C78" w:rsidR="00142A2D" w:rsidP="00F17EC7" w:rsidRDefault="00F13B98" w14:paraId="3E580FDF" w14:textId="77777777">
      <w:pPr>
        <w:pStyle w:val="Default"/>
        <w:numPr>
          <w:ilvl w:val="0"/>
          <w:numId w:val="9"/>
        </w:numPr>
        <w:spacing w:before="60" w:line="288" w:lineRule="auto"/>
        <w:rPr>
          <w:rFonts w:ascii="Arial" w:hAnsi="Arial" w:cs="Arial"/>
          <w:u w:color="000000"/>
          <w:lang w:val="en-US"/>
        </w:rPr>
      </w:pPr>
      <w:r w:rsidRPr="00D66C78">
        <w:rPr>
          <w:rFonts w:ascii="Arial" w:hAnsi="Arial" w:cs="Arial"/>
          <w:u w:color="000000"/>
          <w:lang w:val="en-US"/>
        </w:rPr>
        <w:t>Ensure that the third-party is prepared to bear that risk or to have their identity explicitly recorded.</w:t>
      </w:r>
    </w:p>
    <w:p w:rsidRPr="00D66C78" w:rsidR="00142A2D" w:rsidP="00F17EC7" w:rsidRDefault="00F13B98" w14:paraId="5365A904" w14:textId="77777777">
      <w:pPr>
        <w:pStyle w:val="Default"/>
        <w:numPr>
          <w:ilvl w:val="0"/>
          <w:numId w:val="10"/>
        </w:numPr>
        <w:spacing w:before="60" w:line="288" w:lineRule="auto"/>
        <w:rPr>
          <w:rFonts w:ascii="Arial" w:hAnsi="Arial" w:cs="Arial"/>
          <w:position w:val="-4"/>
          <w:u w:color="000000"/>
          <w:lang w:val="en-US"/>
        </w:rPr>
      </w:pPr>
      <w:r w:rsidRPr="00D66C78">
        <w:rPr>
          <w:rFonts w:ascii="Arial" w:hAnsi="Arial" w:cs="Arial"/>
          <w:u w:color="000000"/>
          <w:lang w:val="en-US"/>
        </w:rPr>
        <w:t>Obtain and record the consent of the third-party for the patient to have access to the information before recording the information</w:t>
      </w:r>
    </w:p>
    <w:p w:rsidRPr="00D66C78" w:rsidR="00142A2D" w:rsidP="00F17EC7" w:rsidRDefault="00F13B98" w14:paraId="7E11D178" w14:textId="77777777">
      <w:pPr>
        <w:pStyle w:val="Default"/>
        <w:numPr>
          <w:ilvl w:val="0"/>
          <w:numId w:val="10"/>
        </w:numPr>
        <w:spacing w:before="60" w:line="288" w:lineRule="auto"/>
        <w:rPr>
          <w:rFonts w:ascii="Arial" w:hAnsi="Arial" w:cs="Arial"/>
          <w:position w:val="-4"/>
          <w:u w:color="000000"/>
          <w:lang w:val="en-US"/>
        </w:rPr>
      </w:pPr>
      <w:r w:rsidRPr="00D66C78">
        <w:rPr>
          <w:rFonts w:ascii="Arial" w:hAnsi="Arial" w:cs="Arial"/>
          <w:u w:color="000000"/>
          <w:lang w:val="en-US"/>
        </w:rPr>
        <w:t>Redact the information so that the patient cannot see it online but it may still be included in a paper printout of the patient’s record and available to the patient through a subject access request under the Data Protection Act 2018.</w:t>
      </w:r>
    </w:p>
    <w:p w:rsidRPr="00D66C78" w:rsidR="00142A2D" w:rsidP="00733804" w:rsidRDefault="00F13B98" w14:paraId="0C9DF2B1" w14:textId="77777777">
      <w:pPr>
        <w:pStyle w:val="Default"/>
        <w:spacing w:before="120" w:line="288" w:lineRule="auto"/>
        <w:rPr>
          <w:rFonts w:ascii="Arial" w:hAnsi="Arial" w:cs="Arial"/>
          <w:u w:color="000000"/>
          <w:lang w:val="en-US"/>
        </w:rPr>
      </w:pPr>
      <w:r w:rsidRPr="00D66C78">
        <w:rPr>
          <w:rFonts w:ascii="Arial" w:hAnsi="Arial" w:cs="Arial"/>
          <w:u w:color="000000"/>
          <w:lang w:val="en-US"/>
        </w:rPr>
        <w:t>The third-party may decide to withhold the information or make it clear that they do not wish it to appear on the record of the patient.</w:t>
      </w:r>
    </w:p>
    <w:p w:rsidRPr="00885A70" w:rsidR="00142A2D" w:rsidP="00733804" w:rsidRDefault="00182287" w14:paraId="22741ACA" w14:textId="69158352">
      <w:pPr>
        <w:spacing w:before="120" w:line="288" w:lineRule="auto"/>
        <w:rPr>
          <w:rFonts w:ascii="Arial" w:hAnsi="Arial" w:eastAsia="Arial" w:cs="Arial"/>
          <w:color w:val="00B050"/>
          <w:sz w:val="22"/>
          <w:szCs w:val="22"/>
        </w:rPr>
      </w:pPr>
      <w:r w:rsidRPr="00873819">
        <w:rPr>
          <w:rFonts w:ascii="Webdings" w:hAnsi="Webdings" w:eastAsia="Calibri" w:cs="Arial"/>
          <w:sz w:val="22"/>
          <w:szCs w:val="22"/>
        </w:rPr>
        <w:t>i</w:t>
      </w:r>
      <w:r w:rsidRPr="13757D61">
        <w:rPr>
          <w:rFonts w:ascii="Arial" w:hAnsi="Arial" w:cs="Arial"/>
          <w:color w:val="00B050"/>
          <w:sz w:val="22"/>
          <w:szCs w:val="22"/>
        </w:rPr>
        <w:t xml:space="preserve"> </w:t>
      </w:r>
      <w:r w:rsidRPr="00182287" w:rsidR="7354A6D2">
        <w:rPr>
          <w:rFonts w:ascii="Arial" w:hAnsi="Arial" w:cs="Arial"/>
          <w:sz w:val="22"/>
          <w:szCs w:val="22"/>
        </w:rPr>
        <w:t xml:space="preserve">There is more information about how to report a breach of personal data to the Information Commissioner at </w:t>
      </w:r>
      <w:hyperlink w:history="1" r:id="rId21">
        <w:r w:rsidRPr="00182287" w:rsidR="7354A6D2">
          <w:rPr>
            <w:rStyle w:val="Hyperlink"/>
            <w:rFonts w:ascii="Arial" w:hAnsi="Arial" w:cs="Arial"/>
            <w:sz w:val="22"/>
            <w:szCs w:val="22"/>
          </w:rPr>
          <w:t>https://ico.org.uk/for-organisations/resources-and-support/pdb/</w:t>
        </w:r>
      </w:hyperlink>
      <w:r w:rsidRPr="00182287" w:rsidR="00F17EC7">
        <w:rPr>
          <w:rStyle w:val="Hyperlink"/>
          <w:rFonts w:ascii="Arial" w:hAnsi="Arial" w:cs="Arial"/>
          <w:sz w:val="22"/>
          <w:szCs w:val="22"/>
        </w:rPr>
        <w:t xml:space="preserve"> </w:t>
      </w:r>
    </w:p>
    <w:p w:rsidRPr="00885A70" w:rsidR="00142A2D" w:rsidP="00733804" w:rsidRDefault="00142A2D" w14:paraId="5B346A7C" w14:textId="77777777">
      <w:pPr>
        <w:spacing w:before="120" w:line="288" w:lineRule="auto"/>
        <w:rPr>
          <w:rFonts w:ascii="Arial" w:hAnsi="Arial" w:eastAsia="Arial" w:cs="Arial"/>
          <w:color w:val="00B050"/>
          <w:sz w:val="22"/>
          <w:szCs w:val="22"/>
        </w:rPr>
      </w:pPr>
    </w:p>
    <w:p w:rsidRPr="00BE2F58" w:rsidR="00142A2D" w:rsidP="00BE2F58" w:rsidRDefault="00F13B98" w14:paraId="04E5EC3F" w14:textId="061D5235">
      <w:pPr>
        <w:pStyle w:val="Default"/>
        <w:widowControl w:val="0"/>
        <w:numPr>
          <w:ilvl w:val="0"/>
          <w:numId w:val="16"/>
        </w:numPr>
        <w:spacing w:before="120" w:line="288" w:lineRule="auto"/>
        <w:ind w:left="284" w:right="569"/>
        <w:rPr>
          <w:rFonts w:ascii="Lato" w:hAnsi="Lato" w:cs="Arial"/>
          <w:b/>
          <w:bCs/>
          <w:color w:val="000000" w:themeColor="text1"/>
          <w:sz w:val="32"/>
          <w:szCs w:val="32"/>
          <w:u w:color="000000"/>
          <w:lang w:val="en-US"/>
        </w:rPr>
      </w:pPr>
      <w:r w:rsidRPr="00BE2F58">
        <w:rPr>
          <w:rFonts w:ascii="Lato" w:hAnsi="Lato" w:cs="Arial"/>
          <w:b/>
          <w:bCs/>
          <w:color w:val="000000" w:themeColor="text1"/>
          <w:sz w:val="32"/>
          <w:szCs w:val="32"/>
          <w:u w:color="000000"/>
          <w:lang w:val="en-US"/>
        </w:rPr>
        <w:t>Legal, insurance and employment reports</w:t>
      </w:r>
    </w:p>
    <w:p w:rsidRPr="00D66C78" w:rsidR="00142A2D" w:rsidP="00733804" w:rsidRDefault="00F13B98" w14:paraId="03A4CE29" w14:textId="5691179A">
      <w:pPr>
        <w:pStyle w:val="Default"/>
        <w:widowControl w:val="0"/>
        <w:spacing w:before="120" w:line="288" w:lineRule="auto"/>
        <w:ind w:right="569"/>
        <w:rPr>
          <w:rFonts w:ascii="Arial" w:hAnsi="Arial" w:cs="Arial"/>
          <w:lang w:val="en-US"/>
        </w:rPr>
      </w:pPr>
      <w:r w:rsidRPr="13757D61">
        <w:rPr>
          <w:rFonts w:ascii="Arial" w:hAnsi="Arial" w:cs="Arial"/>
          <w:lang w:val="en-US"/>
        </w:rPr>
        <w:t>Patients may consider using the clinical record information that they can see in</w:t>
      </w:r>
      <w:r w:rsidRPr="13757D61" w:rsidR="0061542E">
        <w:rPr>
          <w:rFonts w:ascii="Arial" w:hAnsi="Arial" w:cs="Arial"/>
          <w:lang w:val="en-US"/>
        </w:rPr>
        <w:t xml:space="preserve"> their online record</w:t>
      </w:r>
      <w:r w:rsidRPr="13757D61">
        <w:rPr>
          <w:rFonts w:ascii="Arial" w:hAnsi="Arial" w:cs="Arial"/>
          <w:lang w:val="en-US"/>
        </w:rPr>
        <w:t xml:space="preserve"> </w:t>
      </w:r>
      <w:r w:rsidRPr="13757D61" w:rsidR="0061542E">
        <w:rPr>
          <w:rFonts w:ascii="Arial" w:hAnsi="Arial" w:cs="Arial"/>
          <w:lang w:val="en-US"/>
        </w:rPr>
        <w:t>t</w:t>
      </w:r>
      <w:r w:rsidRPr="13757D61">
        <w:rPr>
          <w:rFonts w:ascii="Arial" w:hAnsi="Arial" w:cs="Arial"/>
          <w:lang w:val="en-US"/>
        </w:rPr>
        <w:t xml:space="preserve">o complete applications or reports for legal matters, insurance, financial </w:t>
      </w:r>
      <w:r w:rsidRPr="13757D61" w:rsidR="003D41E1">
        <w:rPr>
          <w:rFonts w:ascii="Arial" w:hAnsi="Arial" w:cs="Arial"/>
          <w:lang w:val="en-US"/>
        </w:rPr>
        <w:t>arrangements,</w:t>
      </w:r>
      <w:r w:rsidRPr="13757D61">
        <w:rPr>
          <w:rFonts w:ascii="Arial" w:hAnsi="Arial" w:cs="Arial"/>
          <w:lang w:val="en-US"/>
        </w:rPr>
        <w:t xml:space="preserve"> or employment. </w:t>
      </w:r>
      <w:r w:rsidRPr="13757D61" w:rsidR="0061542E">
        <w:rPr>
          <w:rFonts w:ascii="Arial" w:hAnsi="Arial" w:cs="Arial"/>
          <w:lang w:val="en-US"/>
        </w:rPr>
        <w:t xml:space="preserve"> </w:t>
      </w:r>
      <w:r w:rsidRPr="13757D61">
        <w:rPr>
          <w:rFonts w:ascii="Arial" w:hAnsi="Arial" w:cs="Arial"/>
          <w:lang w:val="en-US"/>
        </w:rPr>
        <w:t xml:space="preserve">They should be advised against it and </w:t>
      </w:r>
      <w:r w:rsidRPr="13757D61" w:rsidR="003D41E1">
        <w:rPr>
          <w:rFonts w:ascii="Arial" w:hAnsi="Arial" w:cs="Arial"/>
          <w:lang w:val="en-US"/>
        </w:rPr>
        <w:t>they</w:t>
      </w:r>
      <w:r w:rsidRPr="13757D61">
        <w:rPr>
          <w:rFonts w:ascii="Arial" w:hAnsi="Arial" w:cs="Arial"/>
          <w:lang w:val="en-US"/>
        </w:rPr>
        <w:t xml:space="preserve"> should not use a </w:t>
      </w:r>
      <w:r w:rsidRPr="13757D61" w:rsidR="003D41E1">
        <w:rPr>
          <w:rFonts w:ascii="Arial" w:hAnsi="Arial" w:cs="Arial"/>
          <w:lang w:val="en-US"/>
        </w:rPr>
        <w:t>printout</w:t>
      </w:r>
      <w:r w:rsidRPr="13757D61">
        <w:rPr>
          <w:rFonts w:ascii="Arial" w:hAnsi="Arial" w:cs="Arial"/>
          <w:lang w:val="en-US"/>
        </w:rPr>
        <w:t xml:space="preserve"> of their available </w:t>
      </w:r>
      <w:r w:rsidRPr="13757D61" w:rsidR="0061542E">
        <w:rPr>
          <w:rFonts w:ascii="Arial" w:hAnsi="Arial" w:cs="Arial"/>
          <w:lang w:val="en-US"/>
        </w:rPr>
        <w:t>r</w:t>
      </w:r>
      <w:r w:rsidRPr="13757D61">
        <w:rPr>
          <w:rFonts w:ascii="Arial" w:hAnsi="Arial" w:cs="Arial"/>
          <w:lang w:val="en-US"/>
        </w:rPr>
        <w:t>ecord in place of completing a personal health report form.</w:t>
      </w:r>
      <w:r w:rsidRPr="13757D61" w:rsidR="0061542E">
        <w:rPr>
          <w:rFonts w:ascii="Arial" w:hAnsi="Arial" w:cs="Arial"/>
          <w:lang w:val="en-US"/>
        </w:rPr>
        <w:t xml:space="preserve">  Online record access does not replace full subject access request, </w:t>
      </w:r>
    </w:p>
    <w:p w:rsidR="0061542E" w:rsidP="00733804" w:rsidRDefault="00F13B98" w14:paraId="469DC896" w14:textId="77777777">
      <w:pPr>
        <w:pStyle w:val="Default"/>
        <w:widowControl w:val="0"/>
        <w:spacing w:before="120" w:line="288" w:lineRule="auto"/>
        <w:ind w:right="569"/>
        <w:rPr>
          <w:rFonts w:ascii="Arial" w:hAnsi="Arial" w:cs="Arial"/>
          <w:lang w:val="en-US"/>
        </w:rPr>
      </w:pPr>
      <w:r w:rsidRPr="00D66C78">
        <w:rPr>
          <w:rFonts w:ascii="Arial" w:hAnsi="Arial" w:cs="Arial"/>
          <w:lang w:val="en-US"/>
        </w:rPr>
        <w:t xml:space="preserve">There are several reasons for this advice. </w:t>
      </w:r>
      <w:r w:rsidR="0061542E">
        <w:rPr>
          <w:rFonts w:ascii="Arial" w:hAnsi="Arial" w:cs="Arial"/>
          <w:lang w:val="en-US"/>
        </w:rPr>
        <w:t xml:space="preserve"> </w:t>
      </w:r>
    </w:p>
    <w:p w:rsidRPr="00D66C78" w:rsidR="00142A2D" w:rsidP="0061542E" w:rsidRDefault="0061542E" w14:paraId="6485A0E2" w14:textId="6DFAB926">
      <w:pPr>
        <w:pStyle w:val="Default"/>
        <w:widowControl w:val="0"/>
        <w:numPr>
          <w:ilvl w:val="0"/>
          <w:numId w:val="27"/>
        </w:numPr>
        <w:spacing w:before="60" w:line="288" w:lineRule="auto"/>
        <w:ind w:left="714" w:right="567" w:hanging="357"/>
        <w:rPr>
          <w:rFonts w:ascii="Arial" w:hAnsi="Arial" w:cs="Arial"/>
          <w:lang w:val="en-US"/>
        </w:rPr>
      </w:pPr>
      <w:r>
        <w:rPr>
          <w:rFonts w:ascii="Arial" w:hAnsi="Arial" w:cs="Arial"/>
          <w:lang w:val="en-US"/>
        </w:rPr>
        <w:t xml:space="preserve">Online access </w:t>
      </w:r>
      <w:r w:rsidRPr="00D66C78" w:rsidR="00F13B98">
        <w:rPr>
          <w:rFonts w:ascii="Arial" w:hAnsi="Arial" w:cs="Arial"/>
          <w:lang w:val="en-US"/>
        </w:rPr>
        <w:t xml:space="preserve">does not display all the information in the GP record. </w:t>
      </w:r>
      <w:r>
        <w:rPr>
          <w:rFonts w:ascii="Arial" w:hAnsi="Arial" w:cs="Arial"/>
          <w:lang w:val="en-US"/>
        </w:rPr>
        <w:t xml:space="preserve"> </w:t>
      </w:r>
    </w:p>
    <w:p w:rsidR="0061542E" w:rsidP="0061542E" w:rsidRDefault="00F13B98" w14:paraId="45A18635" w14:textId="77777777">
      <w:pPr>
        <w:pStyle w:val="Default"/>
        <w:widowControl w:val="0"/>
        <w:numPr>
          <w:ilvl w:val="0"/>
          <w:numId w:val="27"/>
        </w:numPr>
        <w:spacing w:before="60" w:line="288" w:lineRule="auto"/>
        <w:ind w:left="714" w:right="567" w:hanging="357"/>
        <w:rPr>
          <w:rFonts w:ascii="Arial" w:hAnsi="Arial" w:cs="Arial"/>
          <w:u w:color="000000"/>
          <w:lang w:val="en-US"/>
        </w:rPr>
      </w:pPr>
      <w:r w:rsidRPr="00D66C78">
        <w:rPr>
          <w:rFonts w:ascii="Arial" w:hAnsi="Arial" w:cs="Arial"/>
          <w:u w:color="000000"/>
          <w:lang w:val="en-US"/>
        </w:rPr>
        <w:t xml:space="preserve">Significant information may have been redacted. </w:t>
      </w:r>
      <w:r w:rsidR="0061542E">
        <w:rPr>
          <w:rFonts w:ascii="Arial" w:hAnsi="Arial" w:cs="Arial"/>
          <w:u w:color="000000"/>
          <w:lang w:val="en-US"/>
        </w:rPr>
        <w:t xml:space="preserve"> </w:t>
      </w:r>
    </w:p>
    <w:p w:rsidR="0061542E" w:rsidP="0061542E" w:rsidRDefault="00F13B98" w14:paraId="6CFF0535" w14:textId="77777777">
      <w:pPr>
        <w:pStyle w:val="Default"/>
        <w:widowControl w:val="0"/>
        <w:numPr>
          <w:ilvl w:val="0"/>
          <w:numId w:val="27"/>
        </w:numPr>
        <w:spacing w:before="60" w:line="288" w:lineRule="auto"/>
        <w:ind w:left="714" w:right="567" w:hanging="357"/>
        <w:rPr>
          <w:rFonts w:ascii="Arial" w:hAnsi="Arial" w:cs="Arial"/>
          <w:u w:color="000000"/>
          <w:lang w:val="en-US"/>
        </w:rPr>
      </w:pPr>
      <w:r w:rsidRPr="00D66C78">
        <w:rPr>
          <w:rFonts w:ascii="Arial" w:hAnsi="Arial" w:cs="Arial"/>
          <w:u w:color="000000"/>
          <w:lang w:val="en-US"/>
        </w:rPr>
        <w:lastRenderedPageBreak/>
        <w:t xml:space="preserve">The information that is available to the patient may not be presented in a way that makes it possible for the patient to </w:t>
      </w:r>
      <w:proofErr w:type="spellStart"/>
      <w:r w:rsidRPr="00D66C78">
        <w:rPr>
          <w:rFonts w:ascii="Arial" w:hAnsi="Arial" w:cs="Arial"/>
          <w:u w:color="000000"/>
          <w:lang w:val="en-US"/>
        </w:rPr>
        <w:t>summarise</w:t>
      </w:r>
      <w:proofErr w:type="spellEnd"/>
      <w:r w:rsidRPr="00D66C78">
        <w:rPr>
          <w:rFonts w:ascii="Arial" w:hAnsi="Arial" w:cs="Arial"/>
          <w:u w:color="000000"/>
          <w:lang w:val="en-US"/>
        </w:rPr>
        <w:t xml:space="preserve"> its contents. </w:t>
      </w:r>
    </w:p>
    <w:p w:rsidRPr="00D66C78" w:rsidR="00142A2D" w:rsidP="00733804" w:rsidRDefault="00F13B98" w14:paraId="7579DB76" w14:textId="65ECC79D">
      <w:pPr>
        <w:pStyle w:val="Default"/>
        <w:widowControl w:val="0"/>
        <w:spacing w:before="120" w:line="288" w:lineRule="auto"/>
        <w:ind w:right="569"/>
        <w:rPr>
          <w:rFonts w:ascii="Arial" w:hAnsi="Arial" w:cs="Arial"/>
          <w:u w:color="000000"/>
          <w:lang w:val="en-US"/>
        </w:rPr>
      </w:pPr>
      <w:r w:rsidRPr="00D66C78">
        <w:rPr>
          <w:rFonts w:ascii="Arial" w:hAnsi="Arial" w:cs="Arial"/>
          <w:u w:color="000000"/>
          <w:lang w:val="en-US"/>
        </w:rPr>
        <w:t xml:space="preserve">All these possibilities mean the report may be incomplete, which may put the patient at risk. </w:t>
      </w:r>
      <w:r w:rsidR="0061542E">
        <w:rPr>
          <w:rFonts w:ascii="Arial" w:hAnsi="Arial" w:cs="Arial"/>
          <w:u w:color="000000"/>
          <w:lang w:val="en-US"/>
        </w:rPr>
        <w:t xml:space="preserve">  </w:t>
      </w:r>
    </w:p>
    <w:p w:rsidRPr="00136540" w:rsidR="00142A2D" w:rsidP="00733804" w:rsidRDefault="00F13B98" w14:paraId="5EE52425" w14:textId="3CB1DF97">
      <w:pPr>
        <w:pStyle w:val="Default"/>
        <w:widowControl w:val="0"/>
        <w:spacing w:before="120" w:line="288" w:lineRule="auto"/>
        <w:ind w:right="569"/>
        <w:rPr>
          <w:rFonts w:ascii="Arial" w:hAnsi="Arial" w:cs="Arial"/>
          <w:lang w:val="en-US"/>
        </w:rPr>
      </w:pPr>
      <w:r w:rsidRPr="13757D61">
        <w:rPr>
          <w:rFonts w:ascii="Arial" w:hAnsi="Arial" w:cs="Arial"/>
          <w:lang w:val="en-US"/>
        </w:rPr>
        <w:t xml:space="preserve">The language of the information displayed by </w:t>
      </w:r>
      <w:r w:rsidRPr="13757D61" w:rsidR="00CA00DD">
        <w:rPr>
          <w:rFonts w:ascii="Arial" w:hAnsi="Arial" w:cs="Arial"/>
          <w:lang w:val="en-US"/>
        </w:rPr>
        <w:t xml:space="preserve">GP </w:t>
      </w:r>
      <w:r w:rsidRPr="13757D61" w:rsidR="1902DD80">
        <w:rPr>
          <w:rFonts w:ascii="Arial" w:hAnsi="Arial" w:cs="Arial"/>
          <w:lang w:val="en-US"/>
        </w:rPr>
        <w:t>O</w:t>
      </w:r>
      <w:r w:rsidRPr="13757D61" w:rsidR="00CA00DD">
        <w:rPr>
          <w:rFonts w:ascii="Arial" w:hAnsi="Arial" w:cs="Arial"/>
          <w:lang w:val="en-US"/>
        </w:rPr>
        <w:t xml:space="preserve">nline </w:t>
      </w:r>
      <w:r w:rsidRPr="13757D61" w:rsidR="6AC5F58C">
        <w:rPr>
          <w:rFonts w:ascii="Arial" w:hAnsi="Arial" w:cs="Arial"/>
          <w:lang w:val="en-US"/>
        </w:rPr>
        <w:t>S</w:t>
      </w:r>
      <w:r w:rsidRPr="13757D61" w:rsidR="00CA00DD">
        <w:rPr>
          <w:rFonts w:ascii="Arial" w:hAnsi="Arial" w:cs="Arial"/>
          <w:lang w:val="en-US"/>
        </w:rPr>
        <w:t>ervices</w:t>
      </w:r>
      <w:r w:rsidRPr="13757D61">
        <w:rPr>
          <w:rFonts w:ascii="Arial" w:hAnsi="Arial" w:cs="Arial"/>
          <w:lang w:val="en-US"/>
        </w:rPr>
        <w:t xml:space="preserve"> is often technical and may be mis-interpretated by the patient. </w:t>
      </w:r>
      <w:r w:rsidRPr="13757D61" w:rsidR="0074604A">
        <w:rPr>
          <w:rFonts w:ascii="Arial" w:hAnsi="Arial" w:cs="Arial"/>
          <w:lang w:val="en-US"/>
        </w:rPr>
        <w:t xml:space="preserve"> </w:t>
      </w:r>
      <w:r w:rsidRPr="13757D61">
        <w:rPr>
          <w:rFonts w:ascii="Arial" w:hAnsi="Arial" w:cs="Arial"/>
          <w:lang w:val="en-US"/>
        </w:rPr>
        <w:t>A patient may include something in the record that they do not fully understand and unintentionally give the wrong impression of their health to the recipient of their report.</w:t>
      </w:r>
    </w:p>
    <w:p w:rsidRPr="00136540" w:rsidR="00142A2D" w:rsidP="00733804" w:rsidRDefault="7354A6D2" w14:paraId="17A87709" w14:textId="348BDB42">
      <w:pPr>
        <w:pStyle w:val="Default"/>
        <w:widowControl w:val="0"/>
        <w:spacing w:before="120" w:line="288" w:lineRule="auto"/>
        <w:ind w:right="569"/>
        <w:rPr>
          <w:rFonts w:ascii="Arial" w:hAnsi="Arial" w:cs="Arial"/>
          <w:lang w:val="en-US"/>
        </w:rPr>
      </w:pPr>
      <w:r w:rsidRPr="25055E6A">
        <w:rPr>
          <w:rFonts w:ascii="Arial" w:hAnsi="Arial" w:cs="Arial"/>
          <w:lang w:val="en-US"/>
        </w:rPr>
        <w:t>Finally, the report may be mistakenly attributed to the practice and deemed to be a medical report by whoever the patient shares it with.</w:t>
      </w:r>
    </w:p>
    <w:p w:rsidR="00142A2D" w:rsidP="00733804" w:rsidRDefault="00142A2D" w14:paraId="34EB54B5" w14:textId="5D183E62">
      <w:pPr>
        <w:pStyle w:val="Default"/>
        <w:widowControl w:val="0"/>
        <w:spacing w:before="120" w:line="288" w:lineRule="auto"/>
        <w:rPr>
          <w:rFonts w:ascii="Arial" w:hAnsi="Arial" w:cs="Arial"/>
          <w:b/>
          <w:bCs/>
          <w:color w:val="005392"/>
          <w:sz w:val="24"/>
          <w:szCs w:val="24"/>
          <w:u w:color="000000"/>
          <w:lang w:val="en-US"/>
        </w:rPr>
      </w:pPr>
    </w:p>
    <w:p w:rsidRPr="00BE2F58" w:rsidR="000B5D83" w:rsidP="00BE2F58" w:rsidRDefault="115D68A8" w14:paraId="458C6D53" w14:textId="3EAEDC8B">
      <w:pPr>
        <w:pStyle w:val="ListParagraph"/>
        <w:widowControl w:val="0"/>
        <w:numPr>
          <w:ilvl w:val="0"/>
          <w:numId w:val="16"/>
        </w:numPr>
        <w:spacing w:before="120" w:line="288" w:lineRule="auto"/>
        <w:ind w:left="284"/>
        <w:rPr>
          <w:rFonts w:ascii="Lato" w:hAnsi="Lato"/>
          <w:b/>
          <w:bCs/>
          <w:color w:val="000000" w:themeColor="text1"/>
          <w:sz w:val="32"/>
          <w:szCs w:val="32"/>
        </w:rPr>
      </w:pPr>
      <w:r w:rsidRPr="00BE2F58">
        <w:rPr>
          <w:rFonts w:ascii="Lato" w:hAnsi="Lato" w:eastAsia="Arial" w:cs="Arial"/>
          <w:b/>
          <w:bCs/>
          <w:color w:val="000000" w:themeColor="text1"/>
          <w:sz w:val="32"/>
          <w:szCs w:val="32"/>
        </w:rPr>
        <w:t>Documenting</w:t>
      </w:r>
      <w:r w:rsidRPr="00BE2F58" w:rsidR="455838CE">
        <w:rPr>
          <w:rFonts w:ascii="Lato" w:hAnsi="Lato" w:eastAsia="Arial" w:cs="Arial"/>
          <w:b/>
          <w:bCs/>
          <w:color w:val="000000" w:themeColor="text1"/>
          <w:sz w:val="32"/>
          <w:szCs w:val="32"/>
        </w:rPr>
        <w:t xml:space="preserve"> p</w:t>
      </w:r>
      <w:r w:rsidRPr="00BE2F58">
        <w:rPr>
          <w:rFonts w:ascii="Lato" w:hAnsi="Lato" w:eastAsia="Arial" w:cs="Arial"/>
          <w:b/>
          <w:bCs/>
          <w:color w:val="000000" w:themeColor="text1"/>
          <w:sz w:val="32"/>
          <w:szCs w:val="32"/>
        </w:rPr>
        <w:t xml:space="preserve">ractice </w:t>
      </w:r>
      <w:r w:rsidRPr="00BE2F58" w:rsidR="455838CE">
        <w:rPr>
          <w:rFonts w:ascii="Lato" w:hAnsi="Lato" w:eastAsia="Arial" w:cs="Arial"/>
          <w:b/>
          <w:bCs/>
          <w:color w:val="000000" w:themeColor="text1"/>
          <w:sz w:val="32"/>
          <w:szCs w:val="32"/>
        </w:rPr>
        <w:t>p</w:t>
      </w:r>
      <w:r w:rsidRPr="00BE2F58">
        <w:rPr>
          <w:rFonts w:ascii="Lato" w:hAnsi="Lato" w:eastAsia="Arial" w:cs="Arial"/>
          <w:b/>
          <w:bCs/>
          <w:color w:val="000000" w:themeColor="text1"/>
          <w:sz w:val="32"/>
          <w:szCs w:val="32"/>
        </w:rPr>
        <w:t xml:space="preserve">rivacy </w:t>
      </w:r>
      <w:r w:rsidRPr="00BE2F58" w:rsidR="455838CE">
        <w:rPr>
          <w:rFonts w:ascii="Lato" w:hAnsi="Lato" w:eastAsia="Arial" w:cs="Arial"/>
          <w:b/>
          <w:bCs/>
          <w:color w:val="000000" w:themeColor="text1"/>
          <w:sz w:val="32"/>
          <w:szCs w:val="32"/>
        </w:rPr>
        <w:t>p</w:t>
      </w:r>
      <w:r w:rsidRPr="00BE2F58">
        <w:rPr>
          <w:rFonts w:ascii="Lato" w:hAnsi="Lato" w:eastAsia="Arial" w:cs="Arial"/>
          <w:b/>
          <w:bCs/>
          <w:color w:val="000000" w:themeColor="text1"/>
          <w:sz w:val="32"/>
          <w:szCs w:val="32"/>
        </w:rPr>
        <w:t>olicies</w:t>
      </w:r>
    </w:p>
    <w:p w:rsidRPr="000B5D83" w:rsidR="000B5D83" w:rsidP="4361C743" w:rsidRDefault="4361C743" w14:paraId="65CD9FE7" w14:textId="128688F7">
      <w:pPr>
        <w:widowControl w:val="0"/>
        <w:spacing w:before="120" w:line="288" w:lineRule="auto"/>
      </w:pPr>
      <w:proofErr w:type="gramStart"/>
      <w:r w:rsidRPr="4361C743">
        <w:rPr>
          <w:rFonts w:ascii="Arial" w:hAnsi="Arial" w:eastAsia="Arial" w:cs="Arial"/>
          <w:color w:val="000000" w:themeColor="text1"/>
          <w:sz w:val="22"/>
          <w:szCs w:val="22"/>
        </w:rPr>
        <w:t>As data controllers</w:t>
      </w:r>
      <w:r w:rsidR="00751318">
        <w:rPr>
          <w:rFonts w:ascii="Arial" w:hAnsi="Arial" w:eastAsia="Arial" w:cs="Arial"/>
          <w:color w:val="000000" w:themeColor="text1"/>
          <w:sz w:val="22"/>
          <w:szCs w:val="22"/>
        </w:rPr>
        <w:t>,</w:t>
      </w:r>
      <w:r w:rsidRPr="4361C743">
        <w:rPr>
          <w:rFonts w:ascii="Arial" w:hAnsi="Arial" w:eastAsia="Arial" w:cs="Arial"/>
          <w:color w:val="000000" w:themeColor="text1"/>
          <w:sz w:val="22"/>
          <w:szCs w:val="22"/>
        </w:rPr>
        <w:t xml:space="preserve"> practices</w:t>
      </w:r>
      <w:proofErr w:type="gramEnd"/>
      <w:r w:rsidRPr="4361C743">
        <w:rPr>
          <w:rFonts w:ascii="Arial" w:hAnsi="Arial" w:eastAsia="Arial" w:cs="Arial"/>
          <w:color w:val="000000" w:themeColor="text1"/>
          <w:sz w:val="22"/>
          <w:szCs w:val="22"/>
        </w:rPr>
        <w:t xml:space="preserve"> are required to create and maintain a Record </w:t>
      </w:r>
      <w:r w:rsidRPr="4361C743" w:rsidR="00206986">
        <w:rPr>
          <w:rFonts w:ascii="Arial" w:hAnsi="Arial" w:eastAsia="Arial" w:cs="Arial"/>
          <w:color w:val="000000" w:themeColor="text1"/>
          <w:sz w:val="22"/>
          <w:szCs w:val="22"/>
        </w:rPr>
        <w:t>of</w:t>
      </w:r>
      <w:r w:rsidRPr="4361C743">
        <w:rPr>
          <w:rFonts w:ascii="Arial" w:hAnsi="Arial" w:eastAsia="Arial" w:cs="Arial"/>
          <w:color w:val="000000" w:themeColor="text1"/>
          <w:sz w:val="22"/>
          <w:szCs w:val="22"/>
        </w:rPr>
        <w:t xml:space="preserve"> Processing Activities. Your Practice is likely to have a documented record around Patient Access through a PFA app already. You will have to update the ROPA to reflect the changes (patient access to full record by default for future/prospective record).</w:t>
      </w:r>
    </w:p>
    <w:p w:rsidRPr="000B5D83" w:rsidR="000B5D83" w:rsidP="4361C743" w:rsidRDefault="4361C743" w14:paraId="11B36C50" w14:textId="74DE3FEB">
      <w:pPr>
        <w:widowControl w:val="0"/>
        <w:spacing w:before="120" w:line="288" w:lineRule="auto"/>
      </w:pPr>
      <w:r w:rsidRPr="4361C743">
        <w:rPr>
          <w:rFonts w:ascii="Arial" w:hAnsi="Arial" w:eastAsia="Arial" w:cs="Arial"/>
          <w:color w:val="000000" w:themeColor="text1"/>
          <w:sz w:val="22"/>
          <w:szCs w:val="22"/>
        </w:rPr>
        <w:t>Practice privacy notices should include all types of online record access including automatic record access.  NHS Digital provide information you may want to include in your privacy information at the link below to “Access to Patient Records Through the NHS App”.  You might just include the link.</w:t>
      </w:r>
    </w:p>
    <w:p w:rsidRPr="00182287" w:rsidR="000B5D83" w:rsidP="4361C743" w:rsidRDefault="00182287" w14:paraId="5DC7F6D2" w14:textId="699E082B">
      <w:pPr>
        <w:widowControl w:val="0"/>
        <w:spacing w:before="120" w:line="288" w:lineRule="auto"/>
        <w:rPr>
          <w:rFonts w:ascii="Arial" w:hAnsi="Arial" w:cs="Arial"/>
          <w:sz w:val="22"/>
          <w:szCs w:val="22"/>
        </w:rPr>
      </w:pPr>
      <w:r w:rsidRPr="00182287">
        <w:rPr>
          <w:rFonts w:ascii="Webdings" w:hAnsi="Webdings" w:eastAsia="Calibri" w:cs="Arial"/>
          <w:sz w:val="22"/>
          <w:szCs w:val="22"/>
        </w:rPr>
        <w:t>i</w:t>
      </w:r>
      <w:r w:rsidRPr="00182287">
        <w:rPr>
          <w:rFonts w:ascii="Arial" w:hAnsi="Arial" w:cs="Arial"/>
        </w:rPr>
        <w:t xml:space="preserve"> </w:t>
      </w:r>
      <w:r w:rsidRPr="00182287" w:rsidR="115D68A8">
        <w:rPr>
          <w:rFonts w:ascii="Arial" w:hAnsi="Arial" w:eastAsia="Arial" w:cs="Arial"/>
          <w:sz w:val="22"/>
          <w:szCs w:val="22"/>
        </w:rPr>
        <w:t xml:space="preserve">Information Commissioner’s Office, “Records of Processing and Lawful Basis” - </w:t>
      </w:r>
      <w:hyperlink w:history="1" r:id="rId22">
        <w:r w:rsidRPr="00182287" w:rsidR="115D68A8">
          <w:rPr>
            <w:rStyle w:val="Hyperlink"/>
            <w:rFonts w:ascii="Arial" w:hAnsi="Arial" w:eastAsia="Arial" w:cs="Arial"/>
            <w:sz w:val="22"/>
            <w:szCs w:val="22"/>
          </w:rPr>
          <w:t>https://ico.org.uk/for-organisations/accountability-framework/records-of-processing-and-lawful-basis/</w:t>
        </w:r>
      </w:hyperlink>
      <w:r w:rsidRPr="00182287" w:rsidR="115D68A8">
        <w:rPr>
          <w:rFonts w:ascii="Arial" w:hAnsi="Arial" w:eastAsia="Arial" w:cs="Arial"/>
          <w:sz w:val="22"/>
          <w:szCs w:val="22"/>
        </w:rPr>
        <w:t xml:space="preserve"> </w:t>
      </w:r>
    </w:p>
    <w:p w:rsidRPr="00182287" w:rsidR="000B5D83" w:rsidP="4361C743" w:rsidRDefault="00182287" w14:paraId="7DC33439" w14:textId="493E015D">
      <w:pPr>
        <w:widowControl w:val="0"/>
        <w:spacing w:before="120" w:line="288" w:lineRule="auto"/>
        <w:rPr>
          <w:rFonts w:ascii="Arial" w:hAnsi="Arial" w:cs="Arial"/>
          <w:sz w:val="22"/>
          <w:szCs w:val="22"/>
        </w:rPr>
      </w:pPr>
      <w:r w:rsidRPr="00182287">
        <w:rPr>
          <w:rFonts w:ascii="Webdings" w:hAnsi="Webdings" w:eastAsia="Calibri" w:cs="Arial"/>
          <w:sz w:val="22"/>
          <w:szCs w:val="22"/>
        </w:rPr>
        <w:t>i</w:t>
      </w:r>
      <w:r w:rsidRPr="00182287">
        <w:rPr>
          <w:rFonts w:ascii="Arial" w:hAnsi="Arial" w:cs="Arial"/>
        </w:rPr>
        <w:t xml:space="preserve"> </w:t>
      </w:r>
      <w:r w:rsidRPr="00182287" w:rsidR="115D68A8">
        <w:rPr>
          <w:rFonts w:ascii="Arial" w:hAnsi="Arial" w:eastAsia="Arial" w:cs="Arial"/>
          <w:sz w:val="22"/>
          <w:szCs w:val="22"/>
        </w:rPr>
        <w:t xml:space="preserve">BMA, GDPR Privacy Notices for General Practice </w:t>
      </w:r>
      <w:hyperlink w:history="1" r:id="rId23">
        <w:r w:rsidRPr="00182287" w:rsidR="115D68A8">
          <w:rPr>
            <w:rStyle w:val="Hyperlink"/>
            <w:rFonts w:ascii="Arial" w:hAnsi="Arial" w:eastAsia="Arial" w:cs="Arial"/>
            <w:sz w:val="22"/>
            <w:szCs w:val="22"/>
          </w:rPr>
          <w:t>- https://www.bma.org.uk/advice-and-support/ethics/confidentiality-and-health-records/gdpr-privacy-notices-for-gp-practices</w:t>
        </w:r>
      </w:hyperlink>
      <w:r w:rsidRPr="00182287" w:rsidR="115D68A8">
        <w:rPr>
          <w:rFonts w:ascii="Arial" w:hAnsi="Arial" w:eastAsia="Arial" w:cs="Arial"/>
          <w:sz w:val="22"/>
          <w:szCs w:val="22"/>
        </w:rPr>
        <w:t xml:space="preserve"> </w:t>
      </w:r>
    </w:p>
    <w:p w:rsidRPr="00182287" w:rsidR="000B5D83" w:rsidP="4361C743" w:rsidRDefault="00182287" w14:paraId="0C71E94E" w14:textId="62549E1E">
      <w:pPr>
        <w:widowControl w:val="0"/>
        <w:spacing w:before="120" w:line="288" w:lineRule="auto"/>
        <w:rPr>
          <w:rFonts w:ascii="Arial" w:hAnsi="Arial" w:cs="Arial"/>
          <w:sz w:val="22"/>
          <w:szCs w:val="22"/>
        </w:rPr>
      </w:pPr>
      <w:r w:rsidRPr="00182287">
        <w:rPr>
          <w:rFonts w:ascii="Webdings" w:hAnsi="Webdings" w:eastAsia="Calibri" w:cs="Arial"/>
          <w:sz w:val="22"/>
          <w:szCs w:val="22"/>
        </w:rPr>
        <w:t>i</w:t>
      </w:r>
      <w:r w:rsidRPr="00182287">
        <w:rPr>
          <w:rFonts w:ascii="Arial" w:hAnsi="Arial" w:cs="Arial"/>
        </w:rPr>
        <w:t xml:space="preserve"> </w:t>
      </w:r>
      <w:r w:rsidRPr="00182287" w:rsidR="115D68A8">
        <w:rPr>
          <w:rFonts w:ascii="Arial" w:hAnsi="Arial" w:eastAsia="Arial" w:cs="Arial"/>
          <w:sz w:val="22"/>
          <w:szCs w:val="22"/>
        </w:rPr>
        <w:t>NH</w:t>
      </w:r>
      <w:r w:rsidRPr="00182287" w:rsidR="4A3F7863">
        <w:rPr>
          <w:rFonts w:ascii="Arial" w:hAnsi="Arial" w:eastAsia="Arial" w:cs="Arial"/>
          <w:sz w:val="22"/>
          <w:szCs w:val="22"/>
        </w:rPr>
        <w:t>S</w:t>
      </w:r>
      <w:r w:rsidRPr="00182287" w:rsidR="115D68A8">
        <w:rPr>
          <w:rFonts w:ascii="Arial" w:hAnsi="Arial" w:eastAsia="Arial" w:cs="Arial"/>
          <w:sz w:val="22"/>
          <w:szCs w:val="22"/>
        </w:rPr>
        <w:t xml:space="preserve"> Digital, Access to Patient Records Through the NHS App - </w:t>
      </w:r>
      <w:hyperlink w:history="1" r:id="rId24">
        <w:r w:rsidRPr="00182287" w:rsidR="0074604A">
          <w:rPr>
            <w:rStyle w:val="Hyperlink"/>
            <w:rFonts w:ascii="Arial" w:hAnsi="Arial" w:eastAsia="Arial" w:cs="Arial"/>
            <w:sz w:val="22"/>
            <w:szCs w:val="22"/>
          </w:rPr>
          <w:t>https://digital.nhs.uk/services/nhs-app/nhs-app-guidance-for-gp-practices/accelerating-patient-access-to-their-record</w:t>
        </w:r>
      </w:hyperlink>
      <w:r w:rsidRPr="00182287" w:rsidR="0074604A">
        <w:rPr>
          <w:rFonts w:ascii="Arial" w:hAnsi="Arial" w:eastAsia="Arial" w:cs="Arial"/>
          <w:sz w:val="22"/>
          <w:szCs w:val="22"/>
        </w:rPr>
        <w:t xml:space="preserve"> </w:t>
      </w:r>
    </w:p>
    <w:p w:rsidRPr="000B5D83" w:rsidR="000B5D83" w:rsidP="4361C743" w:rsidRDefault="000B5D83" w14:paraId="7A2FFDB9" w14:textId="2BC67D8E">
      <w:pPr>
        <w:widowControl w:val="0"/>
        <w:spacing w:before="120" w:line="288" w:lineRule="auto"/>
        <w:rPr>
          <w:rFonts w:ascii="Arial" w:hAnsi="Arial" w:cs="Arial"/>
          <w:b/>
          <w:bCs/>
          <w:color w:val="005392"/>
        </w:rPr>
      </w:pPr>
    </w:p>
    <w:p w:rsidRPr="00BE2F58" w:rsidR="0038365F" w:rsidP="00BE2F58" w:rsidRDefault="793014AF" w14:paraId="6FDC7DE9" w14:textId="7BE1A3CE">
      <w:pPr>
        <w:pStyle w:val="Default"/>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tabs>
          <w:tab w:val="left" w:pos="1680"/>
        </w:tabs>
        <w:spacing w:before="120" w:line="288" w:lineRule="auto"/>
        <w:ind w:left="567" w:hanging="643"/>
        <w:rPr>
          <w:rFonts w:ascii="Lato" w:hAnsi="Lato" w:eastAsia="Times New Roman" w:cs="Arial"/>
          <w:b/>
          <w:bCs/>
          <w:color w:val="000000" w:themeColor="text1"/>
          <w:sz w:val="32"/>
          <w:szCs w:val="32"/>
        </w:rPr>
      </w:pPr>
      <w:r w:rsidRPr="00BE2F58">
        <w:rPr>
          <w:rFonts w:ascii="Lato" w:hAnsi="Lato" w:cs="Arial"/>
          <w:b/>
          <w:bCs/>
          <w:color w:val="000000" w:themeColor="text1"/>
          <w:sz w:val="32"/>
          <w:szCs w:val="32"/>
          <w:lang w:val="en-US"/>
        </w:rPr>
        <w:t>Data Protection Impact Assessment</w:t>
      </w:r>
    </w:p>
    <w:p w:rsidR="0038365F" w:rsidP="25055E6A" w:rsidRDefault="04817377" w14:paraId="7CF37EC9" w14:textId="4E411C0F">
      <w:pPr>
        <w:pStyle w:val="Default"/>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1680"/>
        </w:tabs>
        <w:spacing w:before="120" w:line="288" w:lineRule="auto"/>
        <w:rPr>
          <w:rFonts w:ascii="Arial" w:hAnsi="Arial" w:eastAsia="Times New Roman" w:cs="Arial"/>
          <w:bdr w:val="none" w:color="auto" w:sz="0" w:space="0"/>
        </w:rPr>
      </w:pPr>
      <w:r>
        <w:rPr>
          <w:rFonts w:ascii="Arial" w:hAnsi="Arial" w:eastAsia="Times New Roman" w:cs="Arial"/>
          <w:bdr w:val="none" w:color="auto" w:sz="0" w:space="0"/>
        </w:rPr>
        <w:t>The risks related to the automated online record access</w:t>
      </w:r>
      <w:r w:rsidRPr="00B33A65">
        <w:rPr>
          <w:rFonts w:ascii="Arial" w:hAnsi="Arial" w:eastAsia="Times New Roman" w:cs="Arial"/>
          <w:bdr w:val="none" w:color="auto" w:sz="0" w:space="0"/>
        </w:rPr>
        <w:t xml:space="preserve"> risks </w:t>
      </w:r>
      <w:r>
        <w:rPr>
          <w:rFonts w:ascii="Arial" w:hAnsi="Arial" w:eastAsia="Times New Roman" w:cs="Arial"/>
          <w:bdr w:val="none" w:color="auto" w:sz="0" w:space="0"/>
        </w:rPr>
        <w:t xml:space="preserve">will vary from practice to practice </w:t>
      </w:r>
      <w:r w:rsidRPr="00B33A65">
        <w:rPr>
          <w:rFonts w:ascii="Arial" w:hAnsi="Arial" w:eastAsia="Times New Roman" w:cs="Arial"/>
          <w:bdr w:val="none" w:color="auto" w:sz="0" w:space="0"/>
        </w:rPr>
        <w:t xml:space="preserve">as each will have different characteristics, population demographics, turnover in patients, staff expertise, vulnerable groups of patients. </w:t>
      </w:r>
      <w:r>
        <w:rPr>
          <w:rFonts w:ascii="Arial" w:hAnsi="Arial" w:eastAsia="Times New Roman" w:cs="Arial"/>
          <w:bdr w:val="none" w:color="auto" w:sz="0" w:space="0"/>
        </w:rPr>
        <w:t xml:space="preserve"> Practices have a responsibility to carry out and document a </w:t>
      </w:r>
      <w:r w:rsidRPr="00B33A65">
        <w:rPr>
          <w:rFonts w:ascii="Arial" w:hAnsi="Arial" w:eastAsia="Times New Roman" w:cs="Arial"/>
          <w:bdr w:val="none" w:color="auto" w:sz="0" w:space="0"/>
        </w:rPr>
        <w:t xml:space="preserve">Data Protection Impact Assessment (DPIA) </w:t>
      </w:r>
      <w:r>
        <w:rPr>
          <w:rFonts w:ascii="Arial" w:hAnsi="Arial" w:eastAsia="Times New Roman" w:cs="Arial"/>
          <w:bdr w:val="none" w:color="auto" w:sz="0" w:space="0"/>
        </w:rPr>
        <w:t xml:space="preserve">in these circumstances. It </w:t>
      </w:r>
      <w:r w:rsidRPr="00B33A65">
        <w:rPr>
          <w:rFonts w:ascii="Arial" w:hAnsi="Arial" w:eastAsia="Times New Roman" w:cs="Arial"/>
          <w:bdr w:val="none" w:color="auto" w:sz="0" w:space="0"/>
        </w:rPr>
        <w:t xml:space="preserve">is a tool designed to help establish what processing is taking place, what risks this new processing brings and then describe the steps the practice may take to mitigate these risks which may include restricting </w:t>
      </w:r>
      <w:r>
        <w:rPr>
          <w:rFonts w:ascii="Arial" w:hAnsi="Arial" w:eastAsia="Times New Roman" w:cs="Arial"/>
          <w:bdr w:val="none" w:color="auto" w:sz="0" w:space="0"/>
        </w:rPr>
        <w:t xml:space="preserve">access for </w:t>
      </w:r>
      <w:r w:rsidRPr="00B33A65">
        <w:rPr>
          <w:rFonts w:ascii="Arial" w:hAnsi="Arial" w:eastAsia="Times New Roman" w:cs="Arial"/>
          <w:bdr w:val="none" w:color="auto" w:sz="0" w:space="0"/>
        </w:rPr>
        <w:t>certain cohorts (applying SNOMED codes to certain groups), staff training and other risk mitigation processes.</w:t>
      </w:r>
      <w:r>
        <w:rPr>
          <w:rFonts w:ascii="Arial" w:hAnsi="Arial" w:eastAsia="Times New Roman" w:cs="Arial"/>
          <w:bdr w:val="none" w:color="auto" w:sz="0" w:space="0"/>
        </w:rPr>
        <w:t xml:space="preserve">  </w:t>
      </w:r>
    </w:p>
    <w:p w:rsidRPr="00B33A65" w:rsidR="0038365F" w:rsidP="0038365F" w:rsidRDefault="04817377" w14:paraId="2453CE25" w14:textId="2476B841">
      <w:p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rPr>
          <w:rFonts w:ascii="Arial" w:hAnsi="Arial" w:eastAsia="Times New Roman" w:cs="Arial"/>
          <w:color w:val="000000"/>
          <w:sz w:val="22"/>
          <w:szCs w:val="22"/>
          <w:bdr w:val="none" w:color="auto" w:sz="0" w:space="0"/>
          <w:lang w:val="en-GB" w:eastAsia="en-GB"/>
        </w:rPr>
      </w:pPr>
      <w:r w:rsidRPr="00B33A65">
        <w:rPr>
          <w:rFonts w:ascii="Arial" w:hAnsi="Arial" w:eastAsia="Times New Roman" w:cs="Arial"/>
          <w:color w:val="000000"/>
          <w:sz w:val="22"/>
          <w:szCs w:val="22"/>
          <w:bdr w:val="none" w:color="auto" w:sz="0" w:space="0"/>
          <w:lang w:val="en-GB" w:eastAsia="en-GB"/>
        </w:rPr>
        <w:t>In some circumstances it is a legal requirement under UK GDPR to carry out a DPIA and this is typically when there is processing “likely to result in high risk” to individuals.</w:t>
      </w:r>
      <w:r>
        <w:rPr>
          <w:rFonts w:ascii="Arial" w:hAnsi="Arial" w:eastAsia="Times New Roman" w:cs="Arial"/>
          <w:color w:val="000000"/>
          <w:sz w:val="22"/>
          <w:szCs w:val="22"/>
          <w:bdr w:val="none" w:color="auto" w:sz="0" w:space="0"/>
          <w:lang w:val="en-GB" w:eastAsia="en-GB"/>
        </w:rPr>
        <w:t xml:space="preserve"> E</w:t>
      </w:r>
      <w:r w:rsidRPr="00B33A65">
        <w:rPr>
          <w:rFonts w:ascii="Arial" w:hAnsi="Arial" w:eastAsia="Times New Roman" w:cs="Arial"/>
          <w:color w:val="000000"/>
          <w:sz w:val="22"/>
          <w:szCs w:val="22"/>
          <w:bdr w:val="none" w:color="auto" w:sz="0" w:space="0"/>
          <w:lang w:val="en-GB" w:eastAsia="en-GB"/>
        </w:rPr>
        <w:t xml:space="preserve">xcluding patients though the use of code sets would automatically trigger the requirement for a DPIA as it </w:t>
      </w:r>
      <w:r w:rsidRPr="00092945">
        <w:rPr>
          <w:rFonts w:ascii="Arial" w:hAnsi="Arial" w:eastAsia="Times New Roman" w:cs="Arial"/>
          <w:color w:val="000000" w:themeColor="text1"/>
          <w:sz w:val="22"/>
          <w:szCs w:val="22"/>
          <w:bdr w:val="none" w:color="auto" w:sz="0" w:space="0"/>
          <w:lang w:val="en-GB" w:eastAsia="en-GB"/>
        </w:rPr>
        <w:t>could be seen as a “Denial of service” or “profiling</w:t>
      </w:r>
      <w:r w:rsidRPr="00B33A65">
        <w:rPr>
          <w:rFonts w:ascii="Arial" w:hAnsi="Arial" w:eastAsia="Times New Roman" w:cs="Arial"/>
          <w:color w:val="000000"/>
          <w:sz w:val="22"/>
          <w:szCs w:val="22"/>
          <w:bdr w:val="none" w:color="auto" w:sz="0" w:space="0"/>
          <w:lang w:val="en-GB" w:eastAsia="en-GB"/>
        </w:rPr>
        <w:t>” both of which risk the rights and freedoms not only of those who are excluded but also those who should have been excluded but weren’t.</w:t>
      </w:r>
    </w:p>
    <w:p w:rsidRPr="00616539" w:rsidR="0038365F" w:rsidP="0038365F" w:rsidRDefault="0038365F" w14:paraId="3E183549" w14:textId="79A5DD23">
      <w:pPr>
        <w:pBdr>
          <w:top w:val="none" w:color="auto" w:sz="0" w:space="0"/>
          <w:left w:val="none" w:color="auto" w:sz="0" w:space="0"/>
          <w:bottom w:val="none" w:color="auto" w:sz="0" w:space="0"/>
          <w:right w:val="none" w:color="auto" w:sz="0" w:space="0"/>
          <w:between w:val="none" w:color="auto" w:sz="0" w:space="0"/>
          <w:bar w:val="none" w:color="auto" w:sz="0"/>
        </w:pBdr>
        <w:spacing w:before="120" w:line="288" w:lineRule="auto"/>
        <w:rPr>
          <w:rFonts w:ascii="Arial" w:hAnsi="Arial" w:eastAsia="Times New Roman" w:cs="Arial"/>
          <w:color w:val="000000"/>
          <w:sz w:val="22"/>
          <w:szCs w:val="22"/>
          <w:bdr w:val="none" w:color="auto" w:sz="0" w:space="0"/>
          <w:lang w:val="en-GB" w:eastAsia="en-GB"/>
        </w:rPr>
      </w:pPr>
      <w:r w:rsidRPr="00616539">
        <w:rPr>
          <w:rFonts w:ascii="Arial" w:hAnsi="Arial" w:eastAsia="Times New Roman" w:cs="Arial"/>
          <w:color w:val="000000"/>
          <w:sz w:val="22"/>
          <w:szCs w:val="22"/>
          <w:bdr w:val="none" w:color="auto" w:sz="0" w:space="0"/>
          <w:lang w:val="en-GB" w:eastAsia="en-GB"/>
        </w:rPr>
        <w:lastRenderedPageBreak/>
        <w:t>NHS E</w:t>
      </w:r>
      <w:r>
        <w:rPr>
          <w:rFonts w:ascii="Arial" w:hAnsi="Arial" w:eastAsia="Times New Roman" w:cs="Arial"/>
          <w:color w:val="000000"/>
          <w:sz w:val="22"/>
          <w:szCs w:val="22"/>
          <w:bdr w:val="none" w:color="auto" w:sz="0" w:space="0"/>
          <w:lang w:val="en-GB" w:eastAsia="en-GB"/>
        </w:rPr>
        <w:t xml:space="preserve">ngland </w:t>
      </w:r>
      <w:r w:rsidR="00496E14">
        <w:rPr>
          <w:rFonts w:ascii="Arial" w:hAnsi="Arial" w:eastAsia="Times New Roman" w:cs="Arial"/>
          <w:color w:val="000000"/>
          <w:sz w:val="22"/>
          <w:szCs w:val="22"/>
          <w:bdr w:val="none" w:color="auto" w:sz="0" w:space="0"/>
          <w:lang w:val="en-GB" w:eastAsia="en-GB"/>
        </w:rPr>
        <w:t xml:space="preserve">has created </w:t>
      </w:r>
      <w:r w:rsidRPr="00616539">
        <w:rPr>
          <w:rFonts w:ascii="Arial" w:hAnsi="Arial" w:eastAsia="Times New Roman" w:cs="Arial"/>
          <w:color w:val="000000"/>
          <w:sz w:val="22"/>
          <w:szCs w:val="22"/>
          <w:bdr w:val="none" w:color="auto" w:sz="0" w:space="0"/>
          <w:lang w:val="en-GB" w:eastAsia="en-GB"/>
        </w:rPr>
        <w:t xml:space="preserve">a template DPIA that should help General Practices understand the risks and then tailor it to the specific needs of their practice and patients. </w:t>
      </w:r>
      <w:r>
        <w:rPr>
          <w:rFonts w:ascii="Arial" w:hAnsi="Arial" w:eastAsia="Times New Roman" w:cs="Arial"/>
          <w:color w:val="000000"/>
          <w:sz w:val="22"/>
          <w:szCs w:val="22"/>
          <w:bdr w:val="none" w:color="auto" w:sz="0" w:space="0"/>
          <w:lang w:val="en-GB" w:eastAsia="en-GB"/>
        </w:rPr>
        <w:t xml:space="preserve"> </w:t>
      </w:r>
      <w:r w:rsidRPr="00616539">
        <w:rPr>
          <w:rFonts w:ascii="Arial" w:hAnsi="Arial" w:eastAsia="Times New Roman" w:cs="Arial"/>
          <w:color w:val="000000"/>
          <w:sz w:val="22"/>
          <w:szCs w:val="22"/>
          <w:bdr w:val="none" w:color="auto" w:sz="0" w:space="0"/>
          <w:lang w:val="en-GB" w:eastAsia="en-GB"/>
        </w:rPr>
        <w:t xml:space="preserve">The ICO </w:t>
      </w:r>
      <w:r>
        <w:rPr>
          <w:rFonts w:ascii="Arial" w:hAnsi="Arial" w:eastAsia="Times New Roman" w:cs="Arial"/>
          <w:color w:val="000000"/>
          <w:sz w:val="22"/>
          <w:szCs w:val="22"/>
          <w:bdr w:val="none" w:color="auto" w:sz="0" w:space="0"/>
          <w:lang w:val="en-GB" w:eastAsia="en-GB"/>
        </w:rPr>
        <w:t>has produced guidance on creating a DPIA and have an example template</w:t>
      </w:r>
      <w:r w:rsidRPr="00616539">
        <w:rPr>
          <w:rFonts w:ascii="Arial" w:hAnsi="Arial" w:eastAsia="Times New Roman" w:cs="Arial"/>
          <w:color w:val="000000"/>
          <w:sz w:val="22"/>
          <w:szCs w:val="22"/>
          <w:bdr w:val="none" w:color="auto" w:sz="0" w:space="0"/>
          <w:lang w:val="en-GB" w:eastAsia="en-GB"/>
        </w:rPr>
        <w:t xml:space="preserve"> </w:t>
      </w:r>
      <w:r>
        <w:rPr>
          <w:rFonts w:ascii="Arial" w:hAnsi="Arial" w:eastAsia="Times New Roman" w:cs="Arial"/>
          <w:color w:val="000000"/>
          <w:sz w:val="22"/>
          <w:szCs w:val="22"/>
          <w:bdr w:val="none" w:color="auto" w:sz="0" w:space="0"/>
          <w:lang w:val="en-GB" w:eastAsia="en-GB"/>
        </w:rPr>
        <w:t xml:space="preserve">online </w:t>
      </w:r>
      <w:r w:rsidRPr="00616539">
        <w:rPr>
          <w:rFonts w:ascii="Arial" w:hAnsi="Arial" w:eastAsia="Times New Roman" w:cs="Arial"/>
          <w:color w:val="000000"/>
          <w:sz w:val="22"/>
          <w:szCs w:val="22"/>
          <w:bdr w:val="none" w:color="auto" w:sz="0" w:space="0"/>
          <w:lang w:val="en-GB" w:eastAsia="en-GB"/>
        </w:rPr>
        <w:t>that could be used</w:t>
      </w:r>
      <w:r>
        <w:rPr>
          <w:rFonts w:ascii="Arial" w:hAnsi="Arial" w:eastAsia="Times New Roman" w:cs="Arial"/>
          <w:color w:val="000000"/>
          <w:sz w:val="22"/>
          <w:szCs w:val="22"/>
          <w:bdr w:val="none" w:color="auto" w:sz="0" w:space="0"/>
          <w:lang w:val="en-GB" w:eastAsia="en-GB"/>
        </w:rPr>
        <w:t xml:space="preserve"> by practices (see the links below).  I</w:t>
      </w:r>
      <w:r w:rsidRPr="00616539">
        <w:rPr>
          <w:rFonts w:ascii="Arial" w:hAnsi="Arial" w:eastAsia="Times New Roman" w:cs="Arial"/>
          <w:color w:val="000000"/>
          <w:sz w:val="22"/>
          <w:szCs w:val="22"/>
          <w:bdr w:val="none" w:color="auto" w:sz="0" w:space="0"/>
          <w:lang w:val="en-GB" w:eastAsia="en-GB"/>
        </w:rPr>
        <w:t xml:space="preserve">t has all the necessary questions that practices need to consider before enabling this processing. </w:t>
      </w:r>
      <w:r>
        <w:rPr>
          <w:rFonts w:ascii="Arial" w:hAnsi="Arial" w:eastAsia="Times New Roman" w:cs="Arial"/>
          <w:color w:val="000000"/>
          <w:sz w:val="22"/>
          <w:szCs w:val="22"/>
          <w:bdr w:val="none" w:color="auto" w:sz="0" w:space="0"/>
          <w:lang w:val="en-GB" w:eastAsia="en-GB"/>
        </w:rPr>
        <w:t xml:space="preserve"> </w:t>
      </w:r>
      <w:r w:rsidRPr="00616539">
        <w:rPr>
          <w:rFonts w:ascii="Arial" w:hAnsi="Arial" w:eastAsia="Times New Roman" w:cs="Arial"/>
          <w:color w:val="000000"/>
          <w:sz w:val="22"/>
          <w:szCs w:val="22"/>
          <w:bdr w:val="none" w:color="auto" w:sz="0" w:space="0"/>
          <w:lang w:val="en-GB" w:eastAsia="en-GB"/>
        </w:rPr>
        <w:t>Both these documents should be considered when tailoring the DPIA for the individual practice.</w:t>
      </w:r>
    </w:p>
    <w:p w:rsidRPr="00496E14" w:rsidR="0038365F" w:rsidP="00092945" w:rsidRDefault="00496E14" w14:paraId="41C1152D" w14:textId="6527A6D2">
      <w:pPr>
        <w:pStyle w:val="Default"/>
        <w:spacing w:before="120" w:line="288" w:lineRule="auto"/>
        <w:rPr>
          <w:rStyle w:val="None"/>
          <w:rFonts w:ascii="Arial" w:hAnsi="Arial" w:eastAsia="Times New Roman" w:cs="Arial"/>
          <w:color w:val="auto"/>
        </w:rPr>
      </w:pPr>
      <w:r w:rsidRPr="00496E14">
        <w:rPr>
          <w:rFonts w:ascii="Webdings" w:hAnsi="Webdings" w:eastAsia="Calibri" w:cs="Arial"/>
          <w:color w:val="auto"/>
        </w:rPr>
        <w:t>i</w:t>
      </w:r>
      <w:r w:rsidRPr="00496E14">
        <w:rPr>
          <w:rStyle w:val="None"/>
          <w:rFonts w:ascii="Arial" w:hAnsi="Arial" w:eastAsia="Times New Roman" w:cs="Arial"/>
          <w:color w:val="auto"/>
        </w:rPr>
        <w:t xml:space="preserve"> </w:t>
      </w:r>
      <w:r w:rsidRPr="00496E14" w:rsidR="04817377">
        <w:rPr>
          <w:rStyle w:val="None"/>
          <w:rFonts w:ascii="Arial" w:hAnsi="Arial" w:eastAsia="Times New Roman" w:cs="Arial"/>
          <w:color w:val="auto"/>
        </w:rPr>
        <w:t xml:space="preserve">Information Commissioner’s Office, </w:t>
      </w:r>
      <w:r w:rsidRPr="00496E14" w:rsidR="2F2D4E4A">
        <w:rPr>
          <w:rStyle w:val="None"/>
          <w:rFonts w:ascii="Arial" w:hAnsi="Arial" w:eastAsia="Times New Roman" w:cs="Arial"/>
          <w:color w:val="auto"/>
        </w:rPr>
        <w:t>“</w:t>
      </w:r>
      <w:r w:rsidRPr="00496E14" w:rsidR="04817377">
        <w:rPr>
          <w:rStyle w:val="None"/>
          <w:rFonts w:ascii="Arial" w:hAnsi="Arial" w:eastAsia="Times New Roman" w:cs="Arial"/>
          <w:color w:val="auto"/>
        </w:rPr>
        <w:t>When do you need to do a DPIA</w:t>
      </w:r>
      <w:r w:rsidRPr="00496E14" w:rsidR="2F2D4E4A">
        <w:rPr>
          <w:rStyle w:val="None"/>
          <w:rFonts w:ascii="Arial" w:hAnsi="Arial" w:eastAsia="Times New Roman" w:cs="Arial"/>
          <w:color w:val="auto"/>
        </w:rPr>
        <w:t>”</w:t>
      </w:r>
      <w:r w:rsidRPr="00496E14" w:rsidR="04817377">
        <w:rPr>
          <w:rStyle w:val="None"/>
          <w:rFonts w:ascii="Arial" w:hAnsi="Arial" w:eastAsia="Times New Roman" w:cs="Arial"/>
          <w:color w:val="auto"/>
        </w:rPr>
        <w:t xml:space="preserve"> - </w:t>
      </w:r>
      <w:hyperlink w:history="1" w:anchor="when2" r:id="rId25">
        <w:r w:rsidRPr="00496E14" w:rsidR="04817377">
          <w:rPr>
            <w:rStyle w:val="Hyperlink"/>
            <w:rFonts w:ascii="Arial" w:hAnsi="Arial" w:eastAsia="Times New Roman" w:cs="Arial"/>
            <w:color w:val="auto"/>
          </w:rPr>
          <w:t>https://ico.org.uk/for-organisations/guide-to-data-protection/guide-to-the-general-data-protection-regulation-gdpr/data-protection-impact-assessments-dpias/when-do-we-need-to-do-a-dpia/#when2</w:t>
        </w:r>
      </w:hyperlink>
      <w:r w:rsidRPr="00496E14" w:rsidR="04817377">
        <w:rPr>
          <w:rStyle w:val="None"/>
          <w:rFonts w:ascii="Arial" w:hAnsi="Arial" w:eastAsia="Times New Roman" w:cs="Arial"/>
          <w:color w:val="auto"/>
        </w:rPr>
        <w:t xml:space="preserve"> </w:t>
      </w:r>
    </w:p>
    <w:p w:rsidRPr="00496E14" w:rsidR="0038365F" w:rsidP="00092945" w:rsidRDefault="00496E14" w14:paraId="27562927" w14:textId="45D2CC52">
      <w:pPr>
        <w:pStyle w:val="Default"/>
        <w:spacing w:before="120" w:line="288" w:lineRule="auto"/>
        <w:rPr>
          <w:rStyle w:val="None"/>
          <w:rFonts w:ascii="Arial" w:hAnsi="Arial" w:eastAsia="Times New Roman" w:cs="Arial"/>
          <w:color w:val="auto"/>
        </w:rPr>
      </w:pPr>
      <w:r w:rsidRPr="00496E14">
        <w:rPr>
          <w:rFonts w:ascii="Webdings" w:hAnsi="Webdings" w:eastAsia="Calibri" w:cs="Arial"/>
          <w:color w:val="auto"/>
        </w:rPr>
        <w:t>i</w:t>
      </w:r>
      <w:r w:rsidRPr="00496E14">
        <w:rPr>
          <w:rStyle w:val="None"/>
          <w:rFonts w:ascii="Arial" w:hAnsi="Arial" w:eastAsia="Times New Roman" w:cs="Arial"/>
          <w:color w:val="auto"/>
        </w:rPr>
        <w:t xml:space="preserve"> </w:t>
      </w:r>
      <w:r w:rsidRPr="00496E14" w:rsidR="04817377">
        <w:rPr>
          <w:rStyle w:val="None"/>
          <w:rFonts w:ascii="Arial" w:hAnsi="Arial" w:eastAsia="Times New Roman" w:cs="Arial"/>
          <w:color w:val="auto"/>
        </w:rPr>
        <w:t xml:space="preserve">Information Commissioner’s Office, </w:t>
      </w:r>
      <w:r w:rsidRPr="00496E14" w:rsidR="2F2D4E4A">
        <w:rPr>
          <w:rStyle w:val="None"/>
          <w:rFonts w:ascii="Arial" w:hAnsi="Arial" w:eastAsia="Times New Roman" w:cs="Arial"/>
          <w:color w:val="auto"/>
        </w:rPr>
        <w:t>“</w:t>
      </w:r>
      <w:r w:rsidRPr="00496E14" w:rsidR="04817377">
        <w:rPr>
          <w:rStyle w:val="None"/>
          <w:rFonts w:ascii="Arial" w:hAnsi="Arial" w:eastAsia="Times New Roman" w:cs="Arial"/>
          <w:color w:val="auto"/>
        </w:rPr>
        <w:t>Data Protection Impact Assessments</w:t>
      </w:r>
      <w:r w:rsidRPr="00496E14" w:rsidR="15D5AE7A">
        <w:rPr>
          <w:rStyle w:val="None"/>
          <w:rFonts w:ascii="Arial" w:hAnsi="Arial" w:eastAsia="Times New Roman" w:cs="Arial"/>
          <w:color w:val="auto"/>
        </w:rPr>
        <w:t>”</w:t>
      </w:r>
      <w:r w:rsidRPr="00496E14" w:rsidR="04817377">
        <w:rPr>
          <w:rStyle w:val="None"/>
          <w:rFonts w:ascii="Arial" w:hAnsi="Arial" w:eastAsia="Times New Roman" w:cs="Arial"/>
          <w:color w:val="auto"/>
        </w:rPr>
        <w:t xml:space="preserve"> - </w:t>
      </w:r>
      <w:hyperlink w:history="1" r:id="rId26">
        <w:r w:rsidRPr="00496E14" w:rsidR="04817377">
          <w:rPr>
            <w:rStyle w:val="Hyperlink"/>
            <w:rFonts w:ascii="Arial" w:hAnsi="Arial" w:eastAsia="Times New Roman" w:cs="Arial"/>
            <w:color w:val="auto"/>
          </w:rPr>
          <w:t>https://ico.org.uk/for-organisations/guide-to-data-protection/guide-to-the-general-data-protection-regulation-gdpr/accountability-and-governance/data-protection-impact-assessments/</w:t>
        </w:r>
      </w:hyperlink>
      <w:r w:rsidRPr="00496E14" w:rsidR="04817377">
        <w:rPr>
          <w:rStyle w:val="None"/>
          <w:rFonts w:ascii="Arial" w:hAnsi="Arial" w:eastAsia="Times New Roman" w:cs="Arial"/>
          <w:color w:val="auto"/>
        </w:rPr>
        <w:t xml:space="preserve"> </w:t>
      </w:r>
    </w:p>
    <w:p w:rsidR="0038365F" w:rsidP="0038365F" w:rsidRDefault="00496E14" w14:paraId="206399BD" w14:textId="2FCC75CD">
      <w:pPr>
        <w:pStyle w:val="Default"/>
        <w:widowControl w:val="0"/>
        <w:spacing w:before="120" w:line="288" w:lineRule="auto"/>
        <w:rPr>
          <w:rStyle w:val="None"/>
          <w:rFonts w:ascii="Arial" w:hAnsi="Arial" w:eastAsia="Times New Roman" w:cs="Arial"/>
          <w:color w:val="auto"/>
        </w:rPr>
      </w:pPr>
      <w:r w:rsidRPr="00496E14">
        <w:rPr>
          <w:rFonts w:ascii="Webdings" w:hAnsi="Webdings" w:eastAsia="Calibri" w:cs="Arial"/>
          <w:color w:val="auto"/>
        </w:rPr>
        <w:t>i</w:t>
      </w:r>
      <w:r w:rsidRPr="00496E14">
        <w:rPr>
          <w:rFonts w:ascii="Arial" w:hAnsi="Arial" w:cs="Arial"/>
          <w:color w:val="auto"/>
        </w:rPr>
        <w:t xml:space="preserve"> NHS England</w:t>
      </w:r>
      <w:r w:rsidRPr="00496E14">
        <w:rPr>
          <w:rStyle w:val="None"/>
          <w:rFonts w:ascii="Arial" w:hAnsi="Arial" w:eastAsia="Times New Roman" w:cs="Arial"/>
          <w:color w:val="auto"/>
        </w:rPr>
        <w:t xml:space="preserve">, DPIA template- </w:t>
      </w:r>
      <w:hyperlink w:history="1" r:id="rId27">
        <w:r w:rsidRPr="00496E14">
          <w:rPr>
            <w:rStyle w:val="Hyperlink"/>
            <w:rFonts w:ascii="Arial" w:hAnsi="Arial" w:eastAsia="Times New Roman" w:cs="Arial"/>
            <w:color w:val="auto"/>
          </w:rPr>
          <w:t>https://transform.england.nhs.uk/documents/129/Data_Protection_Assessment_template.odt</w:t>
        </w:r>
      </w:hyperlink>
    </w:p>
    <w:p w:rsidR="00496E14" w:rsidP="0038365F" w:rsidRDefault="00496E14" w14:paraId="51CFF8DC" w14:textId="328B0363">
      <w:pPr>
        <w:pStyle w:val="Default"/>
        <w:widowControl w:val="0"/>
        <w:spacing w:before="120" w:line="288" w:lineRule="auto"/>
        <w:rPr>
          <w:rStyle w:val="None"/>
          <w:rFonts w:ascii="Arial" w:hAnsi="Arial" w:eastAsia="Times New Roman" w:cs="Arial"/>
          <w:color w:val="auto"/>
        </w:rPr>
      </w:pPr>
    </w:p>
    <w:p w:rsidRPr="00496E14" w:rsidR="00496E14" w:rsidP="0038365F" w:rsidRDefault="00496E14" w14:paraId="1A0DC349" w14:textId="77777777">
      <w:pPr>
        <w:pStyle w:val="Default"/>
        <w:widowControl w:val="0"/>
        <w:spacing w:before="120" w:line="288" w:lineRule="auto"/>
        <w:rPr>
          <w:rFonts w:ascii="Arial" w:hAnsi="Arial" w:cs="Arial"/>
          <w:b/>
          <w:bCs/>
          <w:color w:val="auto"/>
          <w:sz w:val="24"/>
          <w:szCs w:val="24"/>
          <w:u w:color="000000"/>
          <w:lang w:val="en-US"/>
        </w:rPr>
      </w:pPr>
    </w:p>
    <w:p w:rsidRPr="00BE2F58" w:rsidR="00142A2D" w:rsidP="00BE2F58" w:rsidRDefault="00F13B98" w14:paraId="431D85AF" w14:textId="4156F188">
      <w:pPr>
        <w:pStyle w:val="Default"/>
        <w:widowControl w:val="0"/>
        <w:numPr>
          <w:ilvl w:val="0"/>
          <w:numId w:val="16"/>
        </w:numPr>
        <w:spacing w:before="120" w:line="288" w:lineRule="auto"/>
        <w:ind w:left="284"/>
        <w:rPr>
          <w:rFonts w:ascii="Lato" w:hAnsi="Lato" w:cs="Arial"/>
          <w:b/>
          <w:bCs/>
          <w:color w:val="000000" w:themeColor="text1"/>
          <w:sz w:val="32"/>
          <w:szCs w:val="32"/>
          <w:u w:color="000000"/>
          <w:lang w:val="en-US"/>
        </w:rPr>
      </w:pPr>
      <w:r w:rsidRPr="00BE2F58">
        <w:rPr>
          <w:rFonts w:ascii="Lato" w:hAnsi="Lato" w:cs="Arial"/>
          <w:b/>
          <w:bCs/>
          <w:color w:val="000000" w:themeColor="text1"/>
          <w:sz w:val="32"/>
          <w:szCs w:val="32"/>
          <w:u w:color="000000"/>
          <w:lang w:val="en-US"/>
        </w:rPr>
        <w:t>Disclaimer</w:t>
      </w:r>
    </w:p>
    <w:p w:rsidRPr="00136540" w:rsidR="00142A2D" w:rsidP="00733804" w:rsidRDefault="00F13B98" w14:paraId="5E9E73EC" w14:textId="77777777">
      <w:pPr>
        <w:pStyle w:val="Default"/>
        <w:widowControl w:val="0"/>
        <w:spacing w:before="120" w:line="288" w:lineRule="auto"/>
        <w:rPr>
          <w:rFonts w:ascii="Arial" w:hAnsi="Arial" w:cs="Arial"/>
        </w:rPr>
      </w:pPr>
      <w:r w:rsidRPr="00136540">
        <w:rPr>
          <w:rFonts w:ascii="Arial" w:hAnsi="Arial" w:cs="Arial"/>
          <w:u w:color="000000"/>
          <w:lang w:val="en-US"/>
        </w:rPr>
        <w:t xml:space="preserve">This guidance is a public resource providing general information and not advice relating to specific issues. Users of this guidance should consider taking advice tailored to their </w:t>
      </w:r>
      <w:proofErr w:type="gramStart"/>
      <w:r w:rsidRPr="00136540">
        <w:rPr>
          <w:rFonts w:ascii="Arial" w:hAnsi="Arial" w:cs="Arial"/>
          <w:u w:color="000000"/>
          <w:lang w:val="en-US"/>
        </w:rPr>
        <w:t>particular circumstances</w:t>
      </w:r>
      <w:proofErr w:type="gramEnd"/>
      <w:r w:rsidRPr="00136540">
        <w:rPr>
          <w:rFonts w:ascii="Arial" w:hAnsi="Arial" w:cs="Arial"/>
          <w:u w:color="000000"/>
          <w:lang w:val="en-US"/>
        </w:rPr>
        <w:t xml:space="preserve">. This guidance is intended, but not promised or guaranteed, to be correct and </w:t>
      </w:r>
      <w:proofErr w:type="gramStart"/>
      <w:r w:rsidRPr="00136540">
        <w:rPr>
          <w:rFonts w:ascii="Arial" w:hAnsi="Arial" w:cs="Arial"/>
          <w:u w:color="000000"/>
          <w:lang w:val="en-US"/>
        </w:rPr>
        <w:t>up-to-date</w:t>
      </w:r>
      <w:proofErr w:type="gramEnd"/>
      <w:r w:rsidRPr="00136540">
        <w:rPr>
          <w:rFonts w:ascii="Arial" w:hAnsi="Arial" w:cs="Arial"/>
          <w:u w:color="000000"/>
          <w:lang w:val="en-US"/>
        </w:rPr>
        <w:t xml:space="preserve"> at the time of its publication. The Royal College of General Practitioners does not warrant, nor does it accept any responsibility or liability for, the accuracy or completeness of the content or for any loss which may arise from reliance on information and material contained in this guidance.</w:t>
      </w:r>
      <w:r w:rsidRPr="00136540">
        <w:rPr>
          <w:rFonts w:ascii="Arial" w:hAnsi="Arial" w:eastAsia="Arial Unicode MS" w:cs="Arial"/>
          <w:u w:color="000000"/>
          <w:lang w:val="en-US"/>
        </w:rPr>
        <w:br w:type="page"/>
      </w:r>
    </w:p>
    <w:p w:rsidRPr="00272DCD" w:rsidR="00142A2D" w:rsidP="00BE2F58" w:rsidRDefault="00F13B98" w14:paraId="7FD20D68" w14:textId="0401BC54">
      <w:pPr>
        <w:pStyle w:val="Defaul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ind w:left="284"/>
        <w:rPr>
          <w:rFonts w:ascii="Lato" w:hAnsi="Lato" w:cs="Arial"/>
          <w:b/>
          <w:bCs/>
          <w:color w:val="000000" w:themeColor="text1"/>
          <w:sz w:val="32"/>
          <w:szCs w:val="32"/>
        </w:rPr>
      </w:pPr>
      <w:r w:rsidRPr="00272DCD">
        <w:rPr>
          <w:rFonts w:ascii="Lato" w:hAnsi="Lato" w:cs="Arial"/>
          <w:b/>
          <w:bCs/>
          <w:color w:val="000000" w:themeColor="text1"/>
          <w:sz w:val="32"/>
          <w:szCs w:val="32"/>
          <w:lang w:val="en-US"/>
        </w:rPr>
        <w:lastRenderedPageBreak/>
        <w:t>Further reading</w:t>
      </w:r>
    </w:p>
    <w:p w:rsidRPr="00272DCD" w:rsidR="00142A2D" w:rsidP="00733804" w:rsidRDefault="00F13B98" w14:paraId="38594578" w14:textId="77777777">
      <w:pPr>
        <w:pStyle w:val="Default"/>
        <w:spacing w:before="120" w:line="288" w:lineRule="auto"/>
        <w:rPr>
          <w:rFonts w:ascii="Lato" w:hAnsi="Lato" w:cs="Arial"/>
          <w:b/>
          <w:bCs/>
          <w:color w:val="000000" w:themeColor="text1"/>
          <w:sz w:val="28"/>
          <w:szCs w:val="28"/>
        </w:rPr>
      </w:pPr>
      <w:r w:rsidRPr="00272DCD">
        <w:rPr>
          <w:rFonts w:ascii="Lato" w:hAnsi="Lato" w:cs="Arial"/>
          <w:b/>
          <w:bCs/>
          <w:color w:val="000000" w:themeColor="text1"/>
          <w:sz w:val="28"/>
          <w:szCs w:val="28"/>
          <w:lang w:val="en-US"/>
        </w:rPr>
        <w:t>Information Governance Policy</w:t>
      </w:r>
    </w:p>
    <w:p w:rsidRPr="00D66C78" w:rsidR="00142A2D" w:rsidP="00733804" w:rsidRDefault="00F13B98" w14:paraId="53CADBA4" w14:textId="7109E94B">
      <w:pPr>
        <w:pStyle w:val="Default"/>
        <w:spacing w:before="120" w:line="288" w:lineRule="auto"/>
        <w:rPr>
          <w:rFonts w:ascii="Arial" w:hAnsi="Arial" w:cs="Arial"/>
        </w:rPr>
      </w:pPr>
      <w:r w:rsidRPr="13757D61">
        <w:rPr>
          <w:rFonts w:ascii="Arial" w:hAnsi="Arial" w:cs="Arial"/>
          <w:b/>
          <w:bCs/>
          <w:lang w:val="en-US"/>
        </w:rPr>
        <w:t>Royal College of General Practitioners</w:t>
      </w:r>
      <w:r w:rsidRPr="13757D61">
        <w:rPr>
          <w:rFonts w:ascii="Arial" w:hAnsi="Arial" w:cs="Arial"/>
          <w:lang w:val="en-US"/>
        </w:rPr>
        <w:t xml:space="preserve">, </w:t>
      </w:r>
      <w:r w:rsidRPr="13757D61" w:rsidR="00CA00DD">
        <w:rPr>
          <w:rFonts w:ascii="Arial" w:hAnsi="Arial" w:cs="Arial"/>
          <w:lang w:val="en-US"/>
        </w:rPr>
        <w:t xml:space="preserve">GP </w:t>
      </w:r>
      <w:r w:rsidRPr="13757D61" w:rsidR="09DCC1EA">
        <w:rPr>
          <w:rFonts w:ascii="Arial" w:hAnsi="Arial" w:cs="Arial"/>
          <w:lang w:val="en-US"/>
        </w:rPr>
        <w:t>O</w:t>
      </w:r>
      <w:r w:rsidRPr="13757D61" w:rsidR="00CA00DD">
        <w:rPr>
          <w:rFonts w:ascii="Arial" w:hAnsi="Arial" w:cs="Arial"/>
          <w:lang w:val="en-US"/>
        </w:rPr>
        <w:t xml:space="preserve">nline </w:t>
      </w:r>
      <w:r w:rsidRPr="13757D61" w:rsidR="22F9D837">
        <w:rPr>
          <w:rFonts w:ascii="Arial" w:hAnsi="Arial" w:cs="Arial"/>
          <w:lang w:val="en-US"/>
        </w:rPr>
        <w:t>S</w:t>
      </w:r>
      <w:r w:rsidRPr="13757D61" w:rsidR="00CA00DD">
        <w:rPr>
          <w:rFonts w:ascii="Arial" w:hAnsi="Arial" w:cs="Arial"/>
          <w:lang w:val="en-US"/>
        </w:rPr>
        <w:t>ervice</w:t>
      </w:r>
      <w:r w:rsidRPr="13757D61" w:rsidR="5F1F6DB5">
        <w:rPr>
          <w:rFonts w:ascii="Arial" w:hAnsi="Arial" w:cs="Arial"/>
          <w:lang w:val="en-US"/>
        </w:rPr>
        <w:t>s</w:t>
      </w:r>
      <w:r w:rsidRPr="13757D61">
        <w:rPr>
          <w:rFonts w:ascii="Arial" w:hAnsi="Arial" w:cs="Arial"/>
          <w:lang w:val="en-US"/>
        </w:rPr>
        <w:t xml:space="preserve">: The Road Map 2013, is available in the </w:t>
      </w:r>
      <w:r w:rsidRPr="13757D61" w:rsidR="00CA00DD">
        <w:rPr>
          <w:rFonts w:ascii="Arial" w:hAnsi="Arial" w:cs="Arial"/>
          <w:lang w:val="en-US"/>
        </w:rPr>
        <w:t xml:space="preserve">GP </w:t>
      </w:r>
      <w:r w:rsidRPr="13757D61" w:rsidR="4511BD01">
        <w:rPr>
          <w:rFonts w:ascii="Arial" w:hAnsi="Arial" w:cs="Arial"/>
          <w:lang w:val="en-US"/>
        </w:rPr>
        <w:t>O</w:t>
      </w:r>
      <w:r w:rsidRPr="13757D61" w:rsidR="00CA00DD">
        <w:rPr>
          <w:rFonts w:ascii="Arial" w:hAnsi="Arial" w:cs="Arial"/>
          <w:lang w:val="en-US"/>
        </w:rPr>
        <w:t xml:space="preserve">nline </w:t>
      </w:r>
      <w:r w:rsidRPr="13757D61" w:rsidR="0B5B1F8A">
        <w:rPr>
          <w:rFonts w:ascii="Arial" w:hAnsi="Arial" w:cs="Arial"/>
          <w:lang w:val="en-US"/>
        </w:rPr>
        <w:t>S</w:t>
      </w:r>
      <w:r w:rsidRPr="13757D61" w:rsidR="00CA00DD">
        <w:rPr>
          <w:rFonts w:ascii="Arial" w:hAnsi="Arial" w:cs="Arial"/>
          <w:lang w:val="en-US"/>
        </w:rPr>
        <w:t>ervice</w:t>
      </w:r>
      <w:r w:rsidRPr="13757D61" w:rsidR="779F5658">
        <w:rPr>
          <w:rFonts w:ascii="Arial" w:hAnsi="Arial" w:cs="Arial"/>
          <w:lang w:val="en-US"/>
        </w:rPr>
        <w:t>s</w:t>
      </w:r>
      <w:r w:rsidRPr="13757D61">
        <w:rPr>
          <w:rFonts w:ascii="Arial" w:hAnsi="Arial" w:cs="Arial"/>
          <w:lang w:val="en-US"/>
        </w:rPr>
        <w:t xml:space="preserve"> Toolkit</w:t>
      </w:r>
    </w:p>
    <w:p w:rsidRPr="00D66C78" w:rsidR="00142A2D" w:rsidP="00733804" w:rsidRDefault="7354A6D2" w14:paraId="2859149F" w14:textId="2F8378BF">
      <w:pPr>
        <w:pStyle w:val="Default"/>
        <w:spacing w:before="120" w:line="288" w:lineRule="auto"/>
        <w:rPr>
          <w:rFonts w:ascii="Arial" w:hAnsi="Arial" w:cs="Arial"/>
        </w:rPr>
      </w:pPr>
      <w:r w:rsidRPr="13757D61">
        <w:rPr>
          <w:rFonts w:ascii="Arial" w:hAnsi="Arial" w:cs="Arial"/>
          <w:b/>
          <w:bCs/>
          <w:lang w:val="en-US"/>
        </w:rPr>
        <w:t>General Medical Council</w:t>
      </w:r>
      <w:r w:rsidRPr="13757D61">
        <w:rPr>
          <w:rFonts w:ascii="Arial" w:hAnsi="Arial" w:cs="Arial"/>
          <w:lang w:val="en-US"/>
        </w:rPr>
        <w:t>, Review of public and professional attitudes towards confidentiality of healthcare data: Final report, 2015</w:t>
      </w:r>
      <w:r w:rsidRPr="13757D61" w:rsidR="0F20F4F2">
        <w:rPr>
          <w:rFonts w:ascii="Arial" w:hAnsi="Arial" w:cs="Arial"/>
          <w:lang w:val="en-US"/>
        </w:rPr>
        <w:t xml:space="preserve"> </w:t>
      </w:r>
      <w:r w:rsidRPr="13757D61">
        <w:rPr>
          <w:rFonts w:ascii="Arial" w:hAnsi="Arial" w:cs="Arial"/>
          <w:lang w:val="en-US"/>
        </w:rPr>
        <w:t xml:space="preserve">at </w:t>
      </w:r>
      <w:hyperlink r:id="rId28">
        <w:r w:rsidRPr="13757D61">
          <w:rPr>
            <w:rStyle w:val="Hyperlink"/>
            <w:rFonts w:ascii="Arial" w:hAnsi="Arial" w:cs="Arial"/>
            <w:lang w:val="en-US"/>
          </w:rPr>
          <w:t>https://www.gmc-uk.org/-/media/documents/review-of-public-and-professional-attitudes-towards-confidentiality-of-healthcare-data_pdf-62449249.pdf</w:t>
        </w:r>
      </w:hyperlink>
      <w:r w:rsidRPr="13757D61" w:rsidR="0F20F4F2">
        <w:rPr>
          <w:rFonts w:ascii="Arial" w:hAnsi="Arial" w:cs="Arial"/>
          <w:lang w:val="en-US"/>
        </w:rPr>
        <w:t xml:space="preserve"> </w:t>
      </w:r>
    </w:p>
    <w:p w:rsidRPr="00D66C78" w:rsidR="00142A2D" w:rsidP="00733804" w:rsidRDefault="7354A6D2" w14:paraId="7C78DCC4" w14:textId="61BBF6C6">
      <w:pPr>
        <w:pStyle w:val="Default"/>
        <w:spacing w:before="120" w:line="288" w:lineRule="auto"/>
        <w:rPr>
          <w:rFonts w:ascii="Arial" w:hAnsi="Arial" w:cs="Arial"/>
        </w:rPr>
      </w:pPr>
      <w:r w:rsidRPr="13757D61">
        <w:rPr>
          <w:rFonts w:ascii="Arial" w:hAnsi="Arial" w:cs="Arial"/>
          <w:b/>
          <w:bCs/>
          <w:lang w:val="en-US"/>
        </w:rPr>
        <w:t>Care Quality Commission</w:t>
      </w:r>
      <w:r w:rsidRPr="13757D61">
        <w:rPr>
          <w:rFonts w:ascii="Arial" w:hAnsi="Arial" w:cs="Arial"/>
          <w:lang w:val="en-US"/>
        </w:rPr>
        <w:t xml:space="preserve"> - describe the approach to information governance that they expect health and social care </w:t>
      </w:r>
      <w:proofErr w:type="spellStart"/>
      <w:r w:rsidRPr="13757D61">
        <w:rPr>
          <w:rFonts w:ascii="Arial" w:hAnsi="Arial" w:cs="Arial"/>
          <w:lang w:val="en-US"/>
        </w:rPr>
        <w:t>organisations</w:t>
      </w:r>
      <w:proofErr w:type="spellEnd"/>
      <w:r w:rsidRPr="13757D61">
        <w:rPr>
          <w:rFonts w:ascii="Arial" w:hAnsi="Arial" w:cs="Arial"/>
          <w:lang w:val="en-US"/>
        </w:rPr>
        <w:t xml:space="preserve"> to take in their Policy Statement on Information Security and Guidance</w:t>
      </w:r>
      <w:r w:rsidRPr="13757D61" w:rsidR="0F20F4F2">
        <w:rPr>
          <w:rFonts w:ascii="Arial" w:hAnsi="Arial" w:cs="Arial"/>
          <w:lang w:val="en-US"/>
        </w:rPr>
        <w:t xml:space="preserve"> </w:t>
      </w:r>
      <w:r w:rsidRPr="13757D61">
        <w:rPr>
          <w:rFonts w:ascii="Arial" w:hAnsi="Arial" w:cs="Arial"/>
          <w:lang w:val="en-US"/>
        </w:rPr>
        <w:t xml:space="preserve">at </w:t>
      </w:r>
      <w:hyperlink r:id="rId29">
        <w:r w:rsidRPr="13757D61">
          <w:rPr>
            <w:rStyle w:val="Hyperlink"/>
            <w:rFonts w:ascii="Arial" w:hAnsi="Arial" w:cs="Arial"/>
            <w:lang w:val="en-US"/>
          </w:rPr>
          <w:t>https://www.cqc.org.uk/sites/default/files/20160411%20Final%20Policy%20Statement%20on%20Information%20Security%20July.pdf</w:t>
        </w:r>
      </w:hyperlink>
      <w:r w:rsidRPr="13757D61" w:rsidR="0F20F4F2">
        <w:rPr>
          <w:rFonts w:ascii="Arial" w:hAnsi="Arial" w:cs="Arial"/>
          <w:lang w:val="en-US"/>
        </w:rPr>
        <w:t xml:space="preserve"> </w:t>
      </w:r>
    </w:p>
    <w:p w:rsidRPr="00D66C78" w:rsidR="00142A2D" w:rsidP="00733804" w:rsidRDefault="7354A6D2" w14:paraId="43BA5692" w14:textId="02F6FD66">
      <w:pPr>
        <w:pStyle w:val="Default"/>
        <w:spacing w:before="120" w:line="288" w:lineRule="auto"/>
        <w:rPr>
          <w:rFonts w:ascii="Arial" w:hAnsi="Arial" w:cs="Arial"/>
        </w:rPr>
      </w:pPr>
      <w:r w:rsidRPr="13757D61">
        <w:rPr>
          <w:rFonts w:ascii="Arial" w:hAnsi="Arial" w:cs="Arial"/>
          <w:b/>
          <w:bCs/>
          <w:lang w:val="en-US"/>
        </w:rPr>
        <w:t>The Caldicott Review</w:t>
      </w:r>
      <w:r w:rsidRPr="13757D61">
        <w:rPr>
          <w:rFonts w:ascii="Arial" w:hAnsi="Arial" w:cs="Arial"/>
          <w:lang w:val="en-US"/>
        </w:rPr>
        <w:t xml:space="preserve"> Information: To share or not to share? The Information Governance Review, 2013 is a guide to the principles of information governance for health records including the management of third-party information</w:t>
      </w:r>
      <w:r w:rsidRPr="13757D61" w:rsidR="0F20F4F2">
        <w:rPr>
          <w:rFonts w:ascii="Arial" w:hAnsi="Arial" w:cs="Arial"/>
          <w:lang w:val="en-US"/>
        </w:rPr>
        <w:t xml:space="preserve"> </w:t>
      </w:r>
      <w:r w:rsidRPr="13757D61">
        <w:rPr>
          <w:rFonts w:ascii="Arial" w:hAnsi="Arial" w:cs="Arial"/>
          <w:lang w:val="en-US"/>
        </w:rPr>
        <w:t xml:space="preserve">at </w:t>
      </w:r>
      <w:hyperlink r:id="rId30">
        <w:r w:rsidRPr="13757D61">
          <w:rPr>
            <w:rStyle w:val="Hyperlink"/>
            <w:rFonts w:ascii="Arial" w:hAnsi="Arial" w:cs="Arial"/>
            <w:lang w:val="en-US"/>
          </w:rPr>
          <w:t>https://assets.publishing.service.gov.uk/government/uploads/system/uploads/attachment_data/file/192572/2900774_InfoGovernance_accv2.pdf</w:t>
        </w:r>
      </w:hyperlink>
      <w:r w:rsidRPr="13757D61" w:rsidR="0F20F4F2">
        <w:rPr>
          <w:rFonts w:ascii="Arial" w:hAnsi="Arial" w:cs="Arial"/>
          <w:lang w:val="en-US"/>
        </w:rPr>
        <w:t xml:space="preserve"> </w:t>
      </w:r>
    </w:p>
    <w:p w:rsidRPr="00D66C78" w:rsidR="00142A2D" w:rsidP="00733804" w:rsidRDefault="7354A6D2" w14:paraId="5E97F32F" w14:textId="5863E202">
      <w:pPr>
        <w:pStyle w:val="Default"/>
        <w:spacing w:before="120" w:line="288" w:lineRule="auto"/>
        <w:rPr>
          <w:rFonts w:ascii="Arial" w:hAnsi="Arial" w:cs="Arial"/>
        </w:rPr>
      </w:pPr>
      <w:r w:rsidRPr="13757D61">
        <w:rPr>
          <w:rFonts w:ascii="Arial" w:hAnsi="Arial" w:cs="Arial"/>
          <w:b/>
          <w:bCs/>
          <w:lang w:val="en-US"/>
        </w:rPr>
        <w:t>British Medical Association</w:t>
      </w:r>
      <w:r w:rsidRPr="13757D61">
        <w:rPr>
          <w:rFonts w:ascii="Arial" w:hAnsi="Arial" w:cs="Arial"/>
          <w:lang w:val="en-US"/>
        </w:rPr>
        <w:t xml:space="preserve">, GDPR (General Data Protection Regulation) - a guide for BMA members, 2018, </w:t>
      </w:r>
      <w:r w:rsidRPr="13757D61" w:rsidR="7B409452">
        <w:rPr>
          <w:rFonts w:ascii="Arial" w:hAnsi="Arial" w:cs="Arial"/>
          <w:lang w:val="en-US"/>
        </w:rPr>
        <w:t xml:space="preserve">at </w:t>
      </w:r>
      <w:hyperlink r:id="rId31">
        <w:r w:rsidRPr="13757D61" w:rsidR="7B409452">
          <w:rPr>
            <w:rStyle w:val="Hyperlink"/>
            <w:rFonts w:ascii="Arial" w:hAnsi="Arial" w:cs="Arial"/>
            <w:lang w:val="en-US"/>
          </w:rPr>
          <w:t>https://www.bma.org.uk/advice/employment/ethics/confidentiality-and-health-records/general-data-protection-regulation-gdpr</w:t>
        </w:r>
      </w:hyperlink>
      <w:r w:rsidRPr="13757D61" w:rsidR="0F20F4F2">
        <w:rPr>
          <w:rFonts w:ascii="Arial" w:hAnsi="Arial" w:cs="Arial"/>
          <w:lang w:val="en-US"/>
        </w:rPr>
        <w:t xml:space="preserve"> </w:t>
      </w:r>
    </w:p>
    <w:p w:rsidRPr="00D66C78" w:rsidR="00142A2D" w:rsidP="00733804" w:rsidRDefault="7354A6D2" w14:paraId="06592B3E" w14:textId="0AE24A2A">
      <w:pPr>
        <w:pStyle w:val="Default"/>
        <w:spacing w:before="120" w:line="288" w:lineRule="auto"/>
        <w:rPr>
          <w:rFonts w:ascii="Arial" w:hAnsi="Arial" w:cs="Arial"/>
        </w:rPr>
      </w:pPr>
      <w:r w:rsidRPr="13757D61">
        <w:rPr>
          <w:rFonts w:ascii="Arial" w:hAnsi="Arial" w:cs="Arial"/>
          <w:b/>
          <w:bCs/>
          <w:lang w:val="en-US"/>
        </w:rPr>
        <w:t>NHS Digital,</w:t>
      </w:r>
      <w:r w:rsidRPr="13757D61">
        <w:rPr>
          <w:rFonts w:ascii="Arial" w:hAnsi="Arial" w:cs="Arial"/>
          <w:lang w:val="en-US"/>
        </w:rPr>
        <w:t xml:space="preserve"> Data Security and Protection Toolkit, 2018, at </w:t>
      </w:r>
      <w:hyperlink r:id="rId32">
        <w:r w:rsidRPr="13757D61">
          <w:rPr>
            <w:rStyle w:val="Hyperlink"/>
            <w:rFonts w:ascii="Arial" w:hAnsi="Arial" w:cs="Arial"/>
            <w:lang w:val="en-US"/>
          </w:rPr>
          <w:t>https://digital.nhs.uk/data-and-information/looking-after-information/data-security-and-information-governance/data-security-and-protection-toolkit</w:t>
        </w:r>
      </w:hyperlink>
      <w:r w:rsidRPr="13757D61" w:rsidR="0F20F4F2">
        <w:rPr>
          <w:rFonts w:ascii="Arial" w:hAnsi="Arial" w:cs="Arial"/>
          <w:lang w:val="en-US"/>
        </w:rPr>
        <w:t xml:space="preserve"> </w:t>
      </w:r>
    </w:p>
    <w:p w:rsidRPr="00D66C78" w:rsidR="00142A2D" w:rsidP="00733804" w:rsidRDefault="7354A6D2" w14:paraId="25DCA2D8" w14:textId="2643D2CC">
      <w:pPr>
        <w:pStyle w:val="Default"/>
        <w:spacing w:before="120" w:line="288" w:lineRule="auto"/>
        <w:rPr>
          <w:rFonts w:ascii="Arial" w:hAnsi="Arial" w:cs="Arial"/>
        </w:rPr>
      </w:pPr>
      <w:r w:rsidRPr="13757D61">
        <w:rPr>
          <w:rFonts w:ascii="Arial" w:hAnsi="Arial" w:cs="Arial"/>
          <w:b/>
          <w:bCs/>
          <w:lang w:val="en-US"/>
        </w:rPr>
        <w:t>Information Commissioner’s Office</w:t>
      </w:r>
      <w:r w:rsidRPr="13757D61">
        <w:rPr>
          <w:rFonts w:ascii="Arial" w:hAnsi="Arial" w:cs="Arial"/>
          <w:lang w:val="en-US"/>
        </w:rPr>
        <w:t xml:space="preserve"> There is more information about the right of patients under the General Data Protection Regulation 2018 to have personal data rectified at </w:t>
      </w:r>
      <w:hyperlink r:id="rId33">
        <w:r w:rsidRPr="13757D61">
          <w:rPr>
            <w:rStyle w:val="Hyperlink"/>
            <w:rFonts w:ascii="Arial" w:hAnsi="Arial" w:cs="Arial"/>
            <w:lang w:val="en-US"/>
          </w:rPr>
          <w:t>https://ico.org.uk/for-organisations/guide-to-the-general-data-protection-regulation-gdpr/individual-rights/right-to-rectification/</w:t>
        </w:r>
      </w:hyperlink>
      <w:r w:rsidRPr="13757D61">
        <w:rPr>
          <w:rFonts w:ascii="Arial" w:hAnsi="Arial" w:cs="Arial"/>
          <w:lang w:val="en-US"/>
        </w:rPr>
        <w:t xml:space="preserve"> </w:t>
      </w:r>
    </w:p>
    <w:p w:rsidRPr="00136540" w:rsidR="00142A2D" w:rsidP="00733804" w:rsidRDefault="00142A2D" w14:paraId="1C601096" w14:textId="77777777">
      <w:pPr>
        <w:pStyle w:val="Default"/>
        <w:spacing w:before="120" w:line="288" w:lineRule="auto"/>
        <w:rPr>
          <w:rFonts w:ascii="Arial" w:hAnsi="Arial" w:cs="Arial"/>
        </w:rPr>
      </w:pPr>
    </w:p>
    <w:p w:rsidRPr="00192FD1" w:rsidR="00142A2D" w:rsidP="00733804" w:rsidRDefault="00F13B98" w14:paraId="2C691559" w14:textId="77777777">
      <w:pPr>
        <w:pStyle w:val="Default"/>
        <w:spacing w:before="120" w:line="288" w:lineRule="auto"/>
        <w:rPr>
          <w:rFonts w:ascii="Lato" w:hAnsi="Lato" w:cs="Arial"/>
          <w:b/>
          <w:bCs/>
          <w:color w:val="000000" w:themeColor="text1"/>
          <w:sz w:val="28"/>
          <w:szCs w:val="28"/>
        </w:rPr>
      </w:pPr>
      <w:r w:rsidRPr="00192FD1">
        <w:rPr>
          <w:rFonts w:ascii="Lato" w:hAnsi="Lato" w:cs="Arial"/>
          <w:b/>
          <w:bCs/>
          <w:color w:val="000000" w:themeColor="text1"/>
          <w:sz w:val="28"/>
          <w:szCs w:val="28"/>
          <w:lang w:val="en-US"/>
        </w:rPr>
        <w:t>Coercion</w:t>
      </w:r>
    </w:p>
    <w:p w:rsidRPr="00DD3603" w:rsidR="00142A2D" w:rsidP="00733804" w:rsidRDefault="00F13B98" w14:paraId="330DB0B5" w14:textId="461F0A3E">
      <w:pPr>
        <w:spacing w:before="120" w:line="288" w:lineRule="auto"/>
        <w:rPr>
          <w:rFonts w:ascii="Arial" w:hAnsi="Arial" w:eastAsia="Calibri" w:cs="Arial"/>
          <w:color w:val="000000"/>
          <w:sz w:val="22"/>
          <w:szCs w:val="22"/>
          <w:u w:color="33769C"/>
        </w:rPr>
      </w:pPr>
      <w:r w:rsidRPr="00D66C78">
        <w:rPr>
          <w:rFonts w:ascii="Arial" w:hAnsi="Arial" w:eastAsia="Calibri" w:cs="Arial"/>
          <w:b/>
          <w:bCs/>
          <w:color w:val="000000"/>
          <w:sz w:val="22"/>
          <w:szCs w:val="22"/>
          <w:u w:color="33769C"/>
        </w:rPr>
        <w:t>RCGP</w:t>
      </w:r>
      <w:r w:rsidRPr="00D66C78">
        <w:rPr>
          <w:rFonts w:ascii="Arial" w:hAnsi="Arial" w:eastAsia="Calibri" w:cs="Arial"/>
          <w:color w:val="000000"/>
          <w:sz w:val="22"/>
          <w:szCs w:val="22"/>
          <w:u w:color="33769C"/>
        </w:rPr>
        <w:t xml:space="preserve"> has several resources on its</w:t>
      </w:r>
      <w:r w:rsidRPr="00D66C78" w:rsidR="00940266">
        <w:rPr>
          <w:rFonts w:ascii="Arial" w:hAnsi="Arial" w:eastAsia="Calibri" w:cs="Arial"/>
          <w:color w:val="000000"/>
          <w:sz w:val="22"/>
          <w:szCs w:val="22"/>
          <w:u w:color="33769C"/>
        </w:rPr>
        <w:t xml:space="preserve"> </w:t>
      </w:r>
      <w:r w:rsidRPr="00D66C78">
        <w:rPr>
          <w:rFonts w:ascii="Arial" w:hAnsi="Arial" w:eastAsia="Calibri" w:cs="Arial"/>
          <w:color w:val="000000"/>
          <w:sz w:val="22"/>
          <w:szCs w:val="22"/>
          <w:u w:color="33769C"/>
        </w:rPr>
        <w:t>website on domestic violence and safeguarding adults and children</w:t>
      </w:r>
      <w:hyperlink w:history="1" r:id="rId34">
        <w:r w:rsidRPr="00A512B2" w:rsidR="00DD3603">
          <w:rPr>
            <w:rStyle w:val="Hyperlink"/>
            <w:rFonts w:ascii="Arial" w:hAnsi="Arial" w:eastAsia="Calibri" w:cs="Arial"/>
            <w:sz w:val="22"/>
            <w:szCs w:val="22"/>
          </w:rPr>
          <w:t>https://www.rcgp.org.uk/clinical-and-research/safeguarding.aspx</w:t>
        </w:r>
      </w:hyperlink>
      <w:r w:rsidRPr="13757D61" w:rsidR="455838CE">
        <w:rPr>
          <w:rFonts w:ascii="Arial" w:hAnsi="Arial" w:eastAsia="Calibri" w:cs="Arial"/>
          <w:color w:val="000000" w:themeColor="text1"/>
          <w:sz w:val="22"/>
          <w:szCs w:val="22"/>
        </w:rPr>
        <w:t xml:space="preserve"> </w:t>
      </w:r>
    </w:p>
    <w:p w:rsidRPr="00D66C78" w:rsidR="00142A2D" w:rsidP="00733804" w:rsidRDefault="7354A6D2" w14:paraId="6842BE68" w14:textId="5E7A1520">
      <w:pPr>
        <w:spacing w:before="120" w:line="288" w:lineRule="auto"/>
        <w:rPr>
          <w:rFonts w:ascii="Arial" w:hAnsi="Arial" w:eastAsia="Calibri" w:cs="Arial"/>
          <w:b/>
          <w:bCs/>
          <w:color w:val="000000"/>
          <w:sz w:val="22"/>
          <w:szCs w:val="22"/>
        </w:rPr>
      </w:pPr>
      <w:r w:rsidRPr="13757D61">
        <w:rPr>
          <w:rFonts w:ascii="Arial" w:hAnsi="Arial" w:eastAsia="Calibri" w:cs="Arial"/>
          <w:b/>
          <w:bCs/>
          <w:color w:val="000000" w:themeColor="text1"/>
          <w:sz w:val="22"/>
          <w:szCs w:val="22"/>
        </w:rPr>
        <w:t>NICE</w:t>
      </w:r>
      <w:r w:rsidRPr="13757D61">
        <w:rPr>
          <w:rFonts w:ascii="Arial" w:hAnsi="Arial" w:eastAsia="Calibri" w:cs="Arial"/>
          <w:color w:val="000000" w:themeColor="text1"/>
          <w:sz w:val="22"/>
          <w:szCs w:val="22"/>
        </w:rPr>
        <w:t xml:space="preserve"> has succinct advice on </w:t>
      </w:r>
      <w:proofErr w:type="spellStart"/>
      <w:r w:rsidRPr="13757D61">
        <w:rPr>
          <w:rFonts w:ascii="Arial" w:hAnsi="Arial" w:eastAsia="Calibri" w:cs="Arial"/>
          <w:color w:val="000000" w:themeColor="text1"/>
          <w:sz w:val="22"/>
          <w:szCs w:val="22"/>
        </w:rPr>
        <w:t>recognising</w:t>
      </w:r>
      <w:proofErr w:type="spellEnd"/>
      <w:r w:rsidRPr="13757D61">
        <w:rPr>
          <w:rFonts w:ascii="Arial" w:hAnsi="Arial" w:eastAsia="Calibri" w:cs="Arial"/>
          <w:color w:val="000000" w:themeColor="text1"/>
          <w:sz w:val="22"/>
          <w:szCs w:val="22"/>
        </w:rPr>
        <w:t xml:space="preserve"> and responding to evidence of domestic violence or abuse</w:t>
      </w:r>
      <w:r w:rsidRPr="13757D61" w:rsidR="0F20F4F2">
        <w:rPr>
          <w:rFonts w:ascii="Arial" w:hAnsi="Arial" w:eastAsia="Calibri" w:cs="Arial"/>
          <w:color w:val="000000" w:themeColor="text1"/>
          <w:sz w:val="22"/>
          <w:szCs w:val="22"/>
        </w:rPr>
        <w:t xml:space="preserve"> = QS116</w:t>
      </w:r>
      <w:r w:rsidRPr="13757D61">
        <w:rPr>
          <w:rFonts w:ascii="Arial" w:hAnsi="Arial" w:eastAsia="Calibri" w:cs="Arial"/>
          <w:color w:val="000000" w:themeColor="text1"/>
          <w:sz w:val="22"/>
          <w:szCs w:val="22"/>
        </w:rPr>
        <w:t xml:space="preserve"> (</w:t>
      </w:r>
      <w:r w:rsidRPr="00F56798" w:rsidR="00F56798">
        <w:rPr>
          <w:rFonts w:ascii="Arial" w:hAnsi="Arial" w:eastAsia="Calibri" w:cs="Arial"/>
          <w:color w:val="000000" w:themeColor="text1"/>
          <w:sz w:val="22"/>
          <w:szCs w:val="22"/>
        </w:rPr>
        <w:t>https://www.nice.org.uk/guidance/qs116</w:t>
      </w:r>
      <w:r w:rsidRPr="13757D61">
        <w:rPr>
          <w:rFonts w:ascii="Arial" w:hAnsi="Arial" w:eastAsia="Calibri" w:cs="Arial"/>
          <w:color w:val="000000" w:themeColor="text1"/>
          <w:sz w:val="22"/>
          <w:szCs w:val="22"/>
        </w:rPr>
        <w:t>) and in their guidance on Domestic violence and abuse: multi-agency working - PH50 (</w:t>
      </w:r>
      <w:hyperlink r:id="rId35">
        <w:r w:rsidRPr="13757D61">
          <w:rPr>
            <w:rStyle w:val="Hyperlink"/>
            <w:rFonts w:ascii="Arial" w:hAnsi="Arial" w:eastAsia="Calibri" w:cs="Arial"/>
            <w:sz w:val="22"/>
            <w:szCs w:val="22"/>
          </w:rPr>
          <w:t>https://www.nice.org.uk/guidance/ph50</w:t>
        </w:r>
      </w:hyperlink>
      <w:r w:rsidRPr="13757D61">
        <w:rPr>
          <w:rFonts w:ascii="Arial" w:hAnsi="Arial" w:eastAsia="Calibri" w:cs="Arial"/>
          <w:color w:val="000000" w:themeColor="text1"/>
          <w:sz w:val="22"/>
          <w:szCs w:val="22"/>
        </w:rPr>
        <w:t xml:space="preserve">).  </w:t>
      </w:r>
    </w:p>
    <w:p w:rsidRPr="00D66C78" w:rsidR="00142A2D" w:rsidP="00733804" w:rsidRDefault="7354A6D2" w14:paraId="638F85A7" w14:textId="0C89596D">
      <w:pPr>
        <w:spacing w:before="120" w:line="288" w:lineRule="auto"/>
        <w:rPr>
          <w:rFonts w:ascii="Arial" w:hAnsi="Arial" w:eastAsia="Calibri" w:cs="Arial"/>
          <w:color w:val="000000"/>
          <w:sz w:val="22"/>
          <w:szCs w:val="22"/>
        </w:rPr>
      </w:pPr>
      <w:proofErr w:type="spellStart"/>
      <w:r w:rsidRPr="13757D61">
        <w:rPr>
          <w:rFonts w:ascii="Arial" w:hAnsi="Arial" w:eastAsia="Calibri" w:cs="Arial"/>
          <w:b/>
          <w:bCs/>
          <w:color w:val="000000" w:themeColor="text1"/>
          <w:sz w:val="22"/>
          <w:szCs w:val="22"/>
        </w:rPr>
        <w:t>Safelives</w:t>
      </w:r>
      <w:proofErr w:type="spellEnd"/>
      <w:r w:rsidRPr="13757D61">
        <w:rPr>
          <w:rFonts w:ascii="Arial" w:hAnsi="Arial" w:eastAsia="Calibri" w:cs="Arial"/>
          <w:color w:val="000000" w:themeColor="text1"/>
          <w:sz w:val="22"/>
          <w:szCs w:val="22"/>
        </w:rPr>
        <w:t xml:space="preserve"> provides many useful resources on coercion and domestic abuse, including resources for GPs and guidance on identifying domestic abuse </w:t>
      </w:r>
      <w:hyperlink r:id="rId36">
        <w:r w:rsidRPr="13757D61" w:rsidR="730159A5">
          <w:rPr>
            <w:rStyle w:val="Hyperlink"/>
            <w:rFonts w:ascii="Arial" w:hAnsi="Arial" w:eastAsia="Calibri" w:cs="Arial"/>
            <w:sz w:val="22"/>
            <w:szCs w:val="22"/>
          </w:rPr>
          <w:t>https://safelives.org.uk/policy-evidence/about-domestic-abuse</w:t>
        </w:r>
      </w:hyperlink>
      <w:r w:rsidRPr="13757D61" w:rsidR="0F20F4F2">
        <w:rPr>
          <w:rFonts w:ascii="Arial" w:hAnsi="Arial" w:eastAsia="Calibri" w:cs="Arial"/>
          <w:color w:val="000000" w:themeColor="text1"/>
          <w:sz w:val="22"/>
          <w:szCs w:val="22"/>
        </w:rPr>
        <w:t xml:space="preserve"> and </w:t>
      </w:r>
      <w:hyperlink r:id="rId37">
        <w:r w:rsidRPr="13757D61" w:rsidR="730159A5">
          <w:rPr>
            <w:rStyle w:val="Hyperlink"/>
            <w:rFonts w:ascii="Arial" w:hAnsi="Arial" w:eastAsia="Calibri" w:cs="Arial"/>
            <w:sz w:val="22"/>
            <w:szCs w:val="22"/>
          </w:rPr>
          <w:t>https://communications.safelivesresearch.org.uk/Pathfinder%20Toolkit_Final.pdf</w:t>
        </w:r>
      </w:hyperlink>
      <w:r w:rsidRPr="13757D61" w:rsidR="730159A5">
        <w:rPr>
          <w:rFonts w:ascii="Arial" w:hAnsi="Arial" w:eastAsia="Calibri" w:cs="Arial"/>
          <w:color w:val="000000" w:themeColor="text1"/>
          <w:sz w:val="22"/>
          <w:szCs w:val="22"/>
        </w:rPr>
        <w:t xml:space="preserve"> </w:t>
      </w:r>
    </w:p>
    <w:p w:rsidRPr="00D66C78" w:rsidR="00142A2D" w:rsidP="00733804" w:rsidRDefault="7354A6D2" w14:paraId="14074AC3" w14:textId="0C385430">
      <w:pPr>
        <w:spacing w:before="120" w:line="288" w:lineRule="auto"/>
        <w:rPr>
          <w:rFonts w:ascii="Arial" w:hAnsi="Arial" w:eastAsia="Helvetica Neue" w:cs="Arial"/>
          <w:color w:val="000000"/>
          <w:sz w:val="22"/>
          <w:szCs w:val="22"/>
        </w:rPr>
      </w:pPr>
      <w:r w:rsidRPr="13757D61">
        <w:rPr>
          <w:rFonts w:ascii="Arial" w:hAnsi="Arial" w:cs="Arial"/>
          <w:b/>
          <w:bCs/>
          <w:color w:val="000000" w:themeColor="text1"/>
          <w:sz w:val="22"/>
          <w:szCs w:val="22"/>
        </w:rPr>
        <w:t>IRIS</w:t>
      </w:r>
      <w:r w:rsidRPr="13757D61">
        <w:rPr>
          <w:rFonts w:ascii="Arial" w:hAnsi="Arial" w:cs="Arial"/>
          <w:color w:val="000000" w:themeColor="text1"/>
          <w:sz w:val="22"/>
          <w:szCs w:val="22"/>
        </w:rPr>
        <w:t xml:space="preserve"> (Identification and Referral to Improve Safety) is a charity that offers a general practice-based domestic violence and abuse (DVA) training support and referral programme that has been evaluated in a randomised controlled trial</w:t>
      </w:r>
      <w:r w:rsidRPr="13757D61" w:rsidR="730159A5">
        <w:rPr>
          <w:rFonts w:ascii="Arial" w:hAnsi="Arial" w:cs="Arial"/>
          <w:color w:val="000000" w:themeColor="text1"/>
          <w:sz w:val="22"/>
          <w:szCs w:val="22"/>
        </w:rPr>
        <w:t xml:space="preserve"> -</w:t>
      </w:r>
      <w:r w:rsidRPr="13757D61" w:rsidR="1433192F">
        <w:rPr>
          <w:rFonts w:ascii="Arial" w:hAnsi="Arial" w:cs="Arial"/>
          <w:color w:val="000000" w:themeColor="text1"/>
          <w:sz w:val="22"/>
          <w:szCs w:val="22"/>
        </w:rPr>
        <w:t xml:space="preserve"> </w:t>
      </w:r>
      <w:hyperlink r:id="rId38">
        <w:r w:rsidRPr="13757D61" w:rsidR="730159A5">
          <w:rPr>
            <w:rStyle w:val="Hyperlink"/>
            <w:rFonts w:ascii="Arial" w:hAnsi="Arial" w:cs="Arial"/>
            <w:sz w:val="22"/>
            <w:szCs w:val="22"/>
          </w:rPr>
          <w:t>http://www.irisdomesticviolence.org.uk/iris/</w:t>
        </w:r>
      </w:hyperlink>
      <w:r w:rsidRPr="13757D61" w:rsidR="730159A5">
        <w:rPr>
          <w:rFonts w:ascii="Arial" w:hAnsi="Arial" w:cs="Arial"/>
          <w:color w:val="000000" w:themeColor="text1"/>
          <w:sz w:val="22"/>
          <w:szCs w:val="22"/>
        </w:rPr>
        <w:t xml:space="preserve"> </w:t>
      </w:r>
    </w:p>
    <w:p w:rsidR="00272DCD" w:rsidP="00733804" w:rsidRDefault="00272DCD" w14:paraId="44C64045"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Lato" w:hAnsi="Lato" w:cs="Arial"/>
          <w:b/>
          <w:bCs/>
          <w:color w:val="000000" w:themeColor="text1"/>
          <w:sz w:val="28"/>
          <w:szCs w:val="28"/>
          <w:lang w:val="en-US"/>
        </w:rPr>
      </w:pPr>
    </w:p>
    <w:p w:rsidRPr="00192FD1" w:rsidR="00142A2D" w:rsidP="00733804" w:rsidRDefault="00F13B98" w14:paraId="76CBCE50" w14:textId="4C8927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Lato" w:hAnsi="Lato" w:cs="Arial"/>
          <w:b/>
          <w:bCs/>
          <w:color w:val="000000" w:themeColor="text1"/>
          <w:sz w:val="28"/>
          <w:szCs w:val="28"/>
        </w:rPr>
      </w:pPr>
      <w:r w:rsidRPr="00192FD1">
        <w:rPr>
          <w:rFonts w:ascii="Lato" w:hAnsi="Lato" w:cs="Arial"/>
          <w:b/>
          <w:bCs/>
          <w:color w:val="000000" w:themeColor="text1"/>
          <w:sz w:val="28"/>
          <w:szCs w:val="28"/>
          <w:lang w:val="en-US"/>
        </w:rPr>
        <w:t>Identity Verification</w:t>
      </w:r>
    </w:p>
    <w:p w:rsidRPr="00D66C78" w:rsidR="00142A2D" w:rsidP="00733804" w:rsidRDefault="7354A6D2" w14:paraId="03B6CB1A" w14:textId="680261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120" w:line="288" w:lineRule="auto"/>
        <w:rPr>
          <w:rFonts w:ascii="Arial" w:hAnsi="Arial" w:cs="Arial"/>
        </w:rPr>
      </w:pPr>
      <w:r w:rsidRPr="13757D61">
        <w:rPr>
          <w:rFonts w:ascii="Arial" w:hAnsi="Arial" w:cs="Arial"/>
          <w:b/>
          <w:bCs/>
          <w:lang w:val="en-US"/>
        </w:rPr>
        <w:t xml:space="preserve">Cabinet Office </w:t>
      </w:r>
      <w:r w:rsidRPr="13757D61">
        <w:rPr>
          <w:rFonts w:ascii="Arial" w:hAnsi="Arial" w:cs="Arial"/>
          <w:lang w:val="en-US"/>
        </w:rPr>
        <w:t>- Good Practice Guide 45 “Identity-proofing-and-verification-of-an-individual” lists acceptable documents for identity verification</w:t>
      </w:r>
      <w:r w:rsidRPr="13757D61" w:rsidR="730159A5">
        <w:rPr>
          <w:rFonts w:ascii="Arial" w:hAnsi="Arial" w:cs="Arial"/>
          <w:lang w:val="en-US"/>
        </w:rPr>
        <w:t xml:space="preserve"> </w:t>
      </w:r>
      <w:r w:rsidRPr="13757D61">
        <w:rPr>
          <w:rFonts w:ascii="Arial" w:hAnsi="Arial" w:cs="Arial"/>
          <w:lang w:val="en-US"/>
        </w:rPr>
        <w:t xml:space="preserve">at </w:t>
      </w:r>
      <w:hyperlink r:id="rId39">
        <w:r w:rsidRPr="13757D61" w:rsidR="730159A5">
          <w:rPr>
            <w:rStyle w:val="Hyperlink"/>
            <w:rFonts w:ascii="Arial" w:hAnsi="Arial" w:cs="Arial"/>
            <w:lang w:val="en-US"/>
          </w:rPr>
          <w:t>https://www.gov.uk/government/publications/identity-proofing-and-verification-of-an-individual</w:t>
        </w:r>
      </w:hyperlink>
      <w:r w:rsidRPr="13757D61" w:rsidR="730159A5">
        <w:rPr>
          <w:rFonts w:ascii="Arial" w:hAnsi="Arial" w:cs="Arial"/>
          <w:lang w:val="en-US"/>
        </w:rPr>
        <w:t xml:space="preserve"> </w:t>
      </w:r>
    </w:p>
    <w:p w:rsidRPr="00D66C78" w:rsidR="00142A2D" w:rsidP="00733804" w:rsidRDefault="7354A6D2" w14:paraId="169A57A0" w14:textId="3E68D73A">
      <w:pPr>
        <w:pStyle w:val="Default"/>
        <w:spacing w:before="120" w:line="288" w:lineRule="auto"/>
        <w:rPr>
          <w:rFonts w:ascii="Arial" w:hAnsi="Arial" w:cs="Arial"/>
        </w:rPr>
      </w:pPr>
      <w:r w:rsidRPr="13757D61">
        <w:rPr>
          <w:rFonts w:ascii="Arial" w:hAnsi="Arial" w:cs="Arial"/>
          <w:b/>
          <w:bCs/>
          <w:lang w:val="en-US"/>
        </w:rPr>
        <w:t>NHS Digital</w:t>
      </w:r>
      <w:r w:rsidRPr="13757D61">
        <w:rPr>
          <w:rFonts w:ascii="Arial" w:hAnsi="Arial" w:cs="Arial"/>
          <w:lang w:val="en-US"/>
        </w:rPr>
        <w:t xml:space="preserve"> - “Identity Verification and Authentication Standard for Digital Health and Care Services”, 2018</w:t>
      </w:r>
      <w:r w:rsidRPr="13757D61" w:rsidR="730159A5">
        <w:rPr>
          <w:rFonts w:ascii="Arial" w:hAnsi="Arial" w:cs="Arial"/>
          <w:lang w:val="en-US"/>
        </w:rPr>
        <w:t xml:space="preserve"> </w:t>
      </w:r>
      <w:r w:rsidRPr="13757D61">
        <w:rPr>
          <w:rFonts w:ascii="Arial" w:hAnsi="Arial" w:cs="Arial"/>
          <w:lang w:val="en-US"/>
        </w:rPr>
        <w:t xml:space="preserve">at </w:t>
      </w:r>
      <w:hyperlink r:id="rId40">
        <w:r w:rsidRPr="13757D61" w:rsidR="1433192F">
          <w:rPr>
            <w:rStyle w:val="Hyperlink"/>
            <w:rFonts w:ascii="Arial" w:hAnsi="Arial" w:cs="Arial"/>
            <w:lang w:val="en-US"/>
          </w:rPr>
          <w:t>https://digital.nhs.uk/data-and-information/information-standards/information-standards-and-data-collections-including-extractions/publications-and-notifications/standards-and-collections/dcb3051-identity-verification-and-authentication-standard-for-digit</w:t>
        </w:r>
      </w:hyperlink>
      <w:r w:rsidRPr="13757D61">
        <w:rPr>
          <w:rFonts w:ascii="Arial" w:hAnsi="Arial" w:cs="Arial"/>
          <w:lang w:val="en-US"/>
        </w:rPr>
        <w:t xml:space="preserve">. </w:t>
      </w:r>
    </w:p>
    <w:p w:rsidR="00885A70" w:rsidP="00272DCD" w:rsidRDefault="00885A70" w14:paraId="6B8C6438" w14:textId="77777777">
      <w:pPr>
        <w:pStyle w:val="Default"/>
        <w:spacing w:before="120" w:line="288" w:lineRule="auto"/>
        <w:rPr>
          <w:rFonts w:ascii="Arial" w:hAnsi="Arial" w:cs="Arial"/>
          <w:b/>
          <w:bCs/>
          <w:color w:val="005392"/>
          <w:sz w:val="24"/>
          <w:szCs w:val="24"/>
          <w:lang w:val="en-US"/>
        </w:rPr>
      </w:pPr>
    </w:p>
    <w:p w:rsidRPr="00272DCD" w:rsidR="007066AD" w:rsidP="00272DCD" w:rsidRDefault="00F13B98" w14:paraId="10643116" w14:textId="72CADCFA">
      <w:pPr>
        <w:pStyle w:val="Default"/>
        <w:spacing w:before="120" w:line="288" w:lineRule="auto"/>
        <w:rPr>
          <w:rFonts w:ascii="Lato" w:hAnsi="Lato" w:cs="Arial"/>
          <w:b/>
          <w:bCs/>
          <w:color w:val="000000" w:themeColor="text1"/>
          <w:sz w:val="28"/>
          <w:szCs w:val="28"/>
        </w:rPr>
      </w:pPr>
      <w:r w:rsidRPr="00272DCD">
        <w:rPr>
          <w:rFonts w:ascii="Lato" w:hAnsi="Lato" w:cs="Arial"/>
          <w:b/>
          <w:bCs/>
          <w:color w:val="000000" w:themeColor="text1"/>
          <w:sz w:val="28"/>
          <w:szCs w:val="28"/>
          <w:lang w:val="en-US"/>
        </w:rPr>
        <w:t>Information for Patients</w:t>
      </w:r>
    </w:p>
    <w:p w:rsidRPr="00D66C78" w:rsidR="00142A2D" w:rsidP="00733804" w:rsidRDefault="7354A6D2" w14:paraId="6EBBDA7A" w14:textId="57158F34">
      <w:pPr>
        <w:pStyle w:val="Default"/>
        <w:spacing w:before="120" w:line="288" w:lineRule="auto"/>
        <w:rPr>
          <w:rFonts w:ascii="Arial" w:hAnsi="Arial" w:cs="Arial"/>
          <w:color w:val="202B32"/>
        </w:rPr>
      </w:pPr>
      <w:r w:rsidRPr="13757D61">
        <w:rPr>
          <w:rFonts w:ascii="Arial" w:hAnsi="Arial" w:cs="Arial"/>
          <w:b/>
          <w:bCs/>
          <w:color w:val="202B32"/>
          <w:lang w:val="en-US"/>
        </w:rPr>
        <w:t xml:space="preserve">NHS England’s </w:t>
      </w:r>
      <w:r w:rsidRPr="13757D61">
        <w:rPr>
          <w:rFonts w:ascii="Arial" w:hAnsi="Arial" w:cs="Arial"/>
          <w:color w:val="202B32"/>
          <w:lang w:val="en-US"/>
        </w:rPr>
        <w:t xml:space="preserve">team offer materials for patients, including easy read leaflets </w:t>
      </w:r>
      <w:r w:rsidRPr="13757D61" w:rsidR="730159A5">
        <w:rPr>
          <w:rFonts w:ascii="Arial" w:hAnsi="Arial" w:cs="Arial"/>
          <w:color w:val="202B32"/>
          <w:lang w:val="en-US"/>
        </w:rPr>
        <w:t>which you can order online at</w:t>
      </w:r>
      <w:r w:rsidRPr="13757D61" w:rsidR="455838CE">
        <w:rPr>
          <w:rFonts w:ascii="Arial" w:hAnsi="Arial" w:cs="Arial"/>
          <w:color w:val="202B32"/>
          <w:lang w:val="en-US"/>
        </w:rPr>
        <w:t xml:space="preserve"> </w:t>
      </w:r>
      <w:hyperlink r:id="rId41">
        <w:r w:rsidRPr="13757D61" w:rsidR="455838CE">
          <w:rPr>
            <w:rStyle w:val="Hyperlink"/>
            <w:rFonts w:ascii="Arial" w:hAnsi="Arial" w:cs="Arial"/>
            <w:lang w:val="en-US"/>
          </w:rPr>
          <w:t>https://www.england.nhs.uk/gp-online-services/support/supporting-material/patient-information-guides/</w:t>
        </w:r>
        <w:r w:rsidRPr="13757D61">
          <w:rPr>
            <w:rStyle w:val="Hyperlink"/>
            <w:rFonts w:ascii="Arial" w:hAnsi="Arial" w:cs="Arial"/>
            <w:lang w:val="en-US"/>
          </w:rPr>
          <w:t xml:space="preserve"> </w:t>
        </w:r>
      </w:hyperlink>
      <w:r w:rsidRPr="13757D61">
        <w:rPr>
          <w:rFonts w:ascii="Arial" w:hAnsi="Arial" w:cs="Arial"/>
          <w:color w:val="202B32"/>
          <w:lang w:val="en-US"/>
        </w:rPr>
        <w:t xml:space="preserve"> </w:t>
      </w:r>
    </w:p>
    <w:p w:rsidRPr="00D66C78" w:rsidR="00142A2D" w:rsidP="00733804" w:rsidRDefault="7354A6D2" w14:paraId="603408B8" w14:textId="110FD13A">
      <w:pPr>
        <w:pStyle w:val="Default"/>
        <w:spacing w:before="120" w:line="288" w:lineRule="auto"/>
        <w:rPr>
          <w:rFonts w:ascii="Arial" w:hAnsi="Arial" w:cs="Arial"/>
          <w:color w:val="202B32"/>
        </w:rPr>
      </w:pPr>
      <w:r w:rsidRPr="00D66C78">
        <w:rPr>
          <w:rFonts w:ascii="Arial" w:hAnsi="Arial" w:cs="Arial"/>
          <w:b/>
          <w:bCs/>
          <w:color w:val="202B32"/>
          <w:lang w:val="en-US"/>
        </w:rPr>
        <w:t>The RCGP Toolkit</w:t>
      </w:r>
      <w:r w:rsidRPr="00D66C78">
        <w:rPr>
          <w:rFonts w:ascii="Arial" w:hAnsi="Arial" w:cs="Arial"/>
          <w:color w:val="202B32"/>
          <w:lang w:val="en-US"/>
        </w:rPr>
        <w:t xml:space="preserve"> contains templates forms for signing up new applicants for </w:t>
      </w:r>
      <w:r w:rsidRPr="00D66C78" w:rsidR="243A22D5">
        <w:rPr>
          <w:rFonts w:ascii="Arial" w:hAnsi="Arial" w:cs="Arial"/>
          <w:color w:val="202B32"/>
          <w:lang w:val="en-US"/>
        </w:rPr>
        <w:t>GP Online Services</w:t>
      </w:r>
      <w:r w:rsidRPr="00D66C78">
        <w:rPr>
          <w:rFonts w:ascii="Arial" w:hAnsi="Arial" w:cs="Arial"/>
          <w:color w:val="202B32"/>
          <w:lang w:val="en-US"/>
        </w:rPr>
        <w:t xml:space="preserve"> and proxy access and information leaflets on abnormal laboratory results.</w:t>
      </w:r>
    </w:p>
    <w:p w:rsidR="00885A70" w:rsidP="00733804" w:rsidRDefault="00885A70" w14:paraId="500D38C8" w14:textId="77777777">
      <w:pPr>
        <w:pStyle w:val="Default"/>
        <w:spacing w:before="120" w:line="288" w:lineRule="auto"/>
        <w:rPr>
          <w:rFonts w:ascii="Arial" w:hAnsi="Arial" w:cs="Arial"/>
          <w:b/>
          <w:bCs/>
          <w:color w:val="000000" w:themeColor="text1"/>
          <w:sz w:val="28"/>
          <w:szCs w:val="28"/>
          <w:lang w:val="en-US"/>
        </w:rPr>
      </w:pPr>
    </w:p>
    <w:p w:rsidRPr="00272DCD" w:rsidR="00142A2D" w:rsidP="00733804" w:rsidRDefault="7354A6D2" w14:paraId="473F6FBB" w14:textId="03EDACDC">
      <w:pPr>
        <w:pStyle w:val="Default"/>
        <w:spacing w:before="120" w:line="288" w:lineRule="auto"/>
        <w:rPr>
          <w:rFonts w:ascii="Lato" w:hAnsi="Lato" w:cs="Arial"/>
          <w:b/>
          <w:bCs/>
          <w:color w:val="000000" w:themeColor="text1"/>
          <w:sz w:val="28"/>
          <w:szCs w:val="28"/>
        </w:rPr>
      </w:pPr>
      <w:r w:rsidRPr="25055E6A">
        <w:rPr>
          <w:rFonts w:ascii="Lato" w:hAnsi="Lato" w:cs="Arial"/>
          <w:b/>
          <w:bCs/>
          <w:color w:val="000000" w:themeColor="text1"/>
          <w:sz w:val="28"/>
          <w:szCs w:val="28"/>
          <w:lang w:val="en-US"/>
        </w:rPr>
        <w:t>Computer literacy and digital inclusion</w:t>
      </w:r>
    </w:p>
    <w:p w:rsidRPr="00D66C78" w:rsidR="00142A2D" w:rsidP="00733804" w:rsidRDefault="7354A6D2" w14:paraId="67AE408F" w14:textId="7123B480">
      <w:pPr>
        <w:pStyle w:val="Default"/>
        <w:spacing w:before="120" w:line="288" w:lineRule="auto"/>
        <w:rPr>
          <w:rFonts w:ascii="Arial" w:hAnsi="Arial" w:cs="Arial"/>
        </w:rPr>
      </w:pPr>
      <w:r w:rsidRPr="13757D61">
        <w:rPr>
          <w:rFonts w:ascii="Arial" w:hAnsi="Arial" w:cs="Arial"/>
          <w:b/>
          <w:bCs/>
          <w:color w:val="202B32"/>
          <w:lang w:val="en-US"/>
        </w:rPr>
        <w:t>The Good Things Foundation</w:t>
      </w:r>
      <w:r w:rsidRPr="13757D61">
        <w:rPr>
          <w:rFonts w:ascii="Arial" w:hAnsi="Arial" w:cs="Arial"/>
          <w:color w:val="202B32"/>
          <w:lang w:val="en-US"/>
        </w:rPr>
        <w:t xml:space="preserve"> coordinates a network of learning </w:t>
      </w:r>
      <w:r w:rsidRPr="13757D61" w:rsidR="00583EFC">
        <w:rPr>
          <w:rFonts w:ascii="Arial" w:hAnsi="Arial" w:cs="Arial"/>
          <w:color w:val="202B32"/>
          <w:lang w:val="en-US"/>
        </w:rPr>
        <w:t>cent</w:t>
      </w:r>
      <w:r w:rsidR="00583EFC">
        <w:rPr>
          <w:rFonts w:ascii="Arial" w:hAnsi="Arial" w:cs="Arial"/>
          <w:color w:val="202B32"/>
          <w:lang w:val="en-US"/>
        </w:rPr>
        <w:t>re</w:t>
      </w:r>
      <w:r w:rsidRPr="13757D61" w:rsidR="00583EFC">
        <w:rPr>
          <w:rFonts w:ascii="Arial" w:hAnsi="Arial" w:cs="Arial"/>
          <w:color w:val="202B32"/>
          <w:lang w:val="en-US"/>
        </w:rPr>
        <w:t>s</w:t>
      </w:r>
      <w:r w:rsidRPr="13757D61">
        <w:rPr>
          <w:rFonts w:ascii="Arial" w:hAnsi="Arial" w:cs="Arial"/>
          <w:color w:val="202B32"/>
          <w:lang w:val="en-US"/>
        </w:rPr>
        <w:t xml:space="preserve"> where patients can boost their computer skills. Find your local </w:t>
      </w:r>
      <w:proofErr w:type="spellStart"/>
      <w:r w:rsidRPr="13757D61" w:rsidR="00583EFC">
        <w:rPr>
          <w:rFonts w:ascii="Arial" w:hAnsi="Arial" w:cs="Arial"/>
          <w:color w:val="202B32"/>
          <w:lang w:val="en-US"/>
        </w:rPr>
        <w:t>centr</w:t>
      </w:r>
      <w:r w:rsidR="00583EFC">
        <w:rPr>
          <w:rFonts w:ascii="Arial" w:hAnsi="Arial" w:cs="Arial"/>
          <w:color w:val="202B32"/>
          <w:lang w:val="en-US"/>
        </w:rPr>
        <w:t>e</w:t>
      </w:r>
      <w:proofErr w:type="spellEnd"/>
      <w:r w:rsidRPr="13757D61">
        <w:rPr>
          <w:rFonts w:ascii="Arial" w:hAnsi="Arial" w:cs="Arial"/>
          <w:color w:val="202B32"/>
          <w:lang w:val="en-US"/>
        </w:rPr>
        <w:t xml:space="preserve"> at </w:t>
      </w:r>
      <w:hyperlink r:id="rId42">
        <w:r w:rsidRPr="13757D61">
          <w:rPr>
            <w:rStyle w:val="Hyperlink"/>
            <w:rFonts w:ascii="Arial" w:hAnsi="Arial" w:cs="Arial"/>
            <w:lang w:val="en-US"/>
          </w:rPr>
          <w:t>https://www.goodthingsfoundation.org/online-centres-network</w:t>
        </w:r>
      </w:hyperlink>
      <w:r w:rsidRPr="13757D61">
        <w:rPr>
          <w:rFonts w:ascii="Arial" w:hAnsi="Arial" w:cs="Arial"/>
          <w:color w:val="202B32"/>
          <w:lang w:val="en-US"/>
        </w:rPr>
        <w:t xml:space="preserve"> </w:t>
      </w:r>
    </w:p>
    <w:sectPr w:rsidRPr="00D66C78" w:rsidR="00142A2D">
      <w:footerReference w:type="even" r:id="rId43"/>
      <w:footerReference w:type="default" r:id="rId44"/>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47A" w:rsidRDefault="00D3147A" w14:paraId="288C6EA8" w14:textId="77777777">
      <w:r>
        <w:separator/>
      </w:r>
    </w:p>
  </w:endnote>
  <w:endnote w:type="continuationSeparator" w:id="0">
    <w:p w:rsidR="00D3147A" w:rsidRDefault="00D3147A" w14:paraId="2CF426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8D4" w:rsidP="0021016B" w:rsidRDefault="000028D4" w14:paraId="4B580FEA" w14:textId="01C12A69">
    <w:pPr>
      <w:pStyle w:val="Footer"/>
      <w:framePr w:wrap="none" w:hAnchor="margin" w:vAnchor="text" w:y="1"/>
      <w:rPr>
        <w:rStyle w:val="PageNumber"/>
      </w:rPr>
    </w:pPr>
    <w:r>
      <w:rPr>
        <w:rStyle w:val="PageNumber"/>
      </w:rPr>
      <w:fldChar w:fldCharType="begin"/>
    </w:r>
    <w:r>
      <w:rPr>
        <w:rStyle w:val="PageNumber"/>
      </w:rPr>
      <w:instrText xml:space="preserve"> PAGE </w:instrText>
    </w:r>
    <w:r>
      <w:rPr>
        <w:rStyle w:val="PageNumber"/>
      </w:rPr>
      <w:fldChar w:fldCharType="separate"/>
    </w:r>
    <w:r w:rsidR="005B77AF">
      <w:rPr>
        <w:rStyle w:val="PageNumber"/>
        <w:noProof/>
      </w:rPr>
      <w:t>12</w:t>
    </w:r>
    <w:r>
      <w:rPr>
        <w:rStyle w:val="PageNumber"/>
      </w:rPr>
      <w:fldChar w:fldCharType="end"/>
    </w:r>
  </w:p>
  <w:p w:rsidR="007066AD" w:rsidP="000028D4" w:rsidRDefault="007066AD" w14:paraId="060259B8"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001362"/>
      <w:docPartObj>
        <w:docPartGallery w:val="Page Numbers (Bottom of Page)"/>
        <w:docPartUnique/>
      </w:docPartObj>
    </w:sdtPr>
    <w:sdtEndPr>
      <w:rPr>
        <w:rStyle w:val="PageNumber"/>
        <w:rFonts w:ascii="Arial" w:hAnsi="Arial" w:cs="Arial"/>
        <w:sz w:val="20"/>
        <w:szCs w:val="20"/>
      </w:rPr>
    </w:sdtEndPr>
    <w:sdtContent>
      <w:p w:rsidRPr="007777B1" w:rsidR="000028D4" w:rsidP="0021016B" w:rsidRDefault="000028D4" w14:paraId="6E08A8E1" w14:textId="7827E0AD">
        <w:pPr>
          <w:pStyle w:val="Footer"/>
          <w:framePr w:wrap="none" w:hAnchor="margin" w:vAnchor="text" w:y="1"/>
          <w:rPr>
            <w:rStyle w:val="PageNumber"/>
            <w:rFonts w:ascii="Arial" w:hAnsi="Arial" w:cs="Arial"/>
            <w:sz w:val="20"/>
            <w:szCs w:val="20"/>
          </w:rPr>
        </w:pPr>
        <w:r w:rsidRPr="007777B1">
          <w:rPr>
            <w:rStyle w:val="PageNumber"/>
            <w:rFonts w:ascii="Arial" w:hAnsi="Arial" w:cs="Arial"/>
            <w:sz w:val="20"/>
            <w:szCs w:val="20"/>
          </w:rPr>
          <w:fldChar w:fldCharType="begin"/>
        </w:r>
        <w:r w:rsidRPr="007777B1">
          <w:rPr>
            <w:rStyle w:val="PageNumber"/>
            <w:rFonts w:ascii="Arial" w:hAnsi="Arial" w:cs="Arial"/>
            <w:sz w:val="20"/>
            <w:szCs w:val="20"/>
          </w:rPr>
          <w:instrText xml:space="preserve"> PAGE </w:instrText>
        </w:r>
        <w:r w:rsidRPr="007777B1">
          <w:rPr>
            <w:rStyle w:val="PageNumber"/>
            <w:rFonts w:ascii="Arial" w:hAnsi="Arial" w:cs="Arial"/>
            <w:sz w:val="20"/>
            <w:szCs w:val="20"/>
          </w:rPr>
          <w:fldChar w:fldCharType="separate"/>
        </w:r>
        <w:r w:rsidRPr="007777B1">
          <w:rPr>
            <w:rStyle w:val="PageNumber"/>
            <w:rFonts w:ascii="Arial" w:hAnsi="Arial" w:cs="Arial"/>
            <w:noProof/>
            <w:sz w:val="20"/>
            <w:szCs w:val="20"/>
          </w:rPr>
          <w:t>1</w:t>
        </w:r>
        <w:r w:rsidRPr="007777B1">
          <w:rPr>
            <w:rStyle w:val="PageNumber"/>
            <w:rFonts w:ascii="Arial" w:hAnsi="Arial" w:cs="Arial"/>
            <w:sz w:val="20"/>
            <w:szCs w:val="20"/>
          </w:rPr>
          <w:fldChar w:fldCharType="end"/>
        </w:r>
      </w:p>
    </w:sdtContent>
  </w:sdt>
  <w:p w:rsidRPr="00D63742" w:rsidR="00142A2D" w:rsidP="000028D4" w:rsidRDefault="00F13B98" w14:paraId="4B108877" w14:textId="1665BD34">
    <w:pPr>
      <w:pStyle w:val="HeaderFooter"/>
      <w:tabs>
        <w:tab w:val="clear" w:pos="9020"/>
        <w:tab w:val="center" w:pos="4819"/>
        <w:tab w:val="right" w:pos="9638"/>
      </w:tabs>
      <w:ind w:firstLine="360"/>
      <w:rPr>
        <w:rFonts w:ascii="Arial" w:hAnsi="Arial" w:cs="Arial"/>
      </w:rPr>
    </w:pPr>
    <w:r>
      <w:rPr>
        <w:sz w:val="20"/>
        <w:szCs w:val="20"/>
      </w:rPr>
      <w:tab/>
    </w:r>
    <w:r>
      <w:rPr>
        <w:sz w:val="20"/>
        <w:szCs w:val="20"/>
      </w:rPr>
      <w:tab/>
    </w:r>
    <w:r w:rsidRPr="00D63742" w:rsidR="000028D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47A" w:rsidRDefault="00D3147A" w14:paraId="3523B7F5" w14:textId="77777777">
      <w:r>
        <w:separator/>
      </w:r>
    </w:p>
  </w:footnote>
  <w:footnote w:type="continuationSeparator" w:id="0">
    <w:p w:rsidR="00D3147A" w:rsidRDefault="00D3147A" w14:paraId="7497F2F6" w14:textId="77777777">
      <w:r>
        <w:continuationSeparator/>
      </w:r>
    </w:p>
  </w:footnote>
</w:footnotes>
</file>

<file path=word/intelligence2.xml><?xml version="1.0" encoding="utf-8"?>
<int2:intelligence xmlns:int2="http://schemas.microsoft.com/office/intelligence/2020/intelligence">
  <int2:observations>
    <int2:textHash int2:hashCode="m/C6mGJeQTWOW1" int2:id="RZNx5rdJ">
      <int2:state int2:type="LegacyProofing" int2:value="Rejected"/>
    </int2:textHash>
    <int2:textHash int2:hashCode="8LTZ8KejK/eOkE" int2:id="8xtcqrrF">
      <int2:state int2:type="LegacyProofing" int2:value="Rejected"/>
    </int2:textHash>
    <int2:textHash int2:hashCode="rtCZhM9yeWdATf" int2:id="kJezqqOw">
      <int2:state int2:type="LegacyProofing" int2:value="Rejected"/>
    </int2:textHash>
    <int2:textHash int2:hashCode="K9X7Xd4L2h5wl4" int2:id="FrEufLPP">
      <int2:state int2:type="LegacyProofing" int2:value="Rejected"/>
    </int2:textHash>
    <int2:textHash int2:hashCode="v3jXqOAVqWKVSe" int2:id="UjGS2OZG">
      <int2:state int2:type="LegacyProofing" int2:value="Rejected"/>
    </int2:textHash>
    <int2:textHash int2:hashCode="kByidkXaRxGvMx" int2:id="kJsIWdY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2F94"/>
    <w:multiLevelType w:val="hybridMultilevel"/>
    <w:tmpl w:val="5226CB42"/>
    <w:lvl w:ilvl="0" w:tplc="6D34E518">
      <w:start w:val="1"/>
      <w:numFmt w:val="decimal"/>
      <w:lvlText w:val="%1."/>
      <w:lvlJc w:val="left"/>
      <w:pPr>
        <w:ind w:left="720" w:hanging="360"/>
      </w:pPr>
      <w:rPr>
        <w:rFonts w:hint="default" w:eastAsia="Times New Roman" w:cs="Times New Roman"/>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C6CA0"/>
    <w:multiLevelType w:val="hybridMultilevel"/>
    <w:tmpl w:val="10CCD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44C1A"/>
    <w:multiLevelType w:val="hybridMultilevel"/>
    <w:tmpl w:val="45CE516A"/>
    <w:numStyleLink w:val="ImportedStyle1"/>
  </w:abstractNum>
  <w:abstractNum w:abstractNumId="3" w15:restartNumberingAfterBreak="0">
    <w:nsid w:val="28C54613"/>
    <w:multiLevelType w:val="multilevel"/>
    <w:tmpl w:val="1F0A42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857F4"/>
    <w:multiLevelType w:val="hybridMultilevel"/>
    <w:tmpl w:val="30FE0856"/>
    <w:numStyleLink w:val="Numbered"/>
  </w:abstractNum>
  <w:abstractNum w:abstractNumId="5" w15:restartNumberingAfterBreak="0">
    <w:nsid w:val="353C0CE6"/>
    <w:multiLevelType w:val="multilevel"/>
    <w:tmpl w:val="EB7A47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6CD26DE"/>
    <w:multiLevelType w:val="multilevel"/>
    <w:tmpl w:val="ABF8FA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40961"/>
    <w:multiLevelType w:val="multilevel"/>
    <w:tmpl w:val="00146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9C3AB1"/>
    <w:multiLevelType w:val="multilevel"/>
    <w:tmpl w:val="A8A433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0033AFC"/>
    <w:multiLevelType w:val="hybridMultilevel"/>
    <w:tmpl w:val="30FE0856"/>
    <w:styleLink w:val="Numbered"/>
    <w:lvl w:ilvl="0" w:tplc="07524924">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C50A3A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C27D4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16CB4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FA0ADA">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AD594">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F8304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1CFC88">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5806DE">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FF34F4"/>
    <w:multiLevelType w:val="hybridMultilevel"/>
    <w:tmpl w:val="761ED3E2"/>
    <w:lvl w:ilvl="0" w:tplc="13AC254C">
      <w:start w:val="1"/>
      <w:numFmt w:val="bullet"/>
      <w:lvlText w:val="•"/>
      <w:lvlJc w:val="left"/>
      <w:pPr>
        <w:ind w:left="283" w:hanging="2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76A164">
      <w:start w:val="1"/>
      <w:numFmt w:val="bullet"/>
      <w:lvlText w:val="•"/>
      <w:lvlJc w:val="left"/>
      <w:pPr>
        <w:ind w:left="37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D0E6C8">
      <w:start w:val="1"/>
      <w:numFmt w:val="bullet"/>
      <w:lvlText w:val="•"/>
      <w:lvlJc w:val="left"/>
      <w:pPr>
        <w:ind w:left="55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6ED52E">
      <w:start w:val="1"/>
      <w:numFmt w:val="bullet"/>
      <w:lvlText w:val="•"/>
      <w:lvlJc w:val="left"/>
      <w:pPr>
        <w:ind w:left="73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A0C840">
      <w:start w:val="1"/>
      <w:numFmt w:val="bullet"/>
      <w:lvlText w:val="•"/>
      <w:lvlJc w:val="left"/>
      <w:pPr>
        <w:ind w:left="91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488BCA">
      <w:start w:val="1"/>
      <w:numFmt w:val="bullet"/>
      <w:lvlText w:val="•"/>
      <w:lvlJc w:val="left"/>
      <w:pPr>
        <w:ind w:left="109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2ADEBA">
      <w:start w:val="1"/>
      <w:numFmt w:val="bullet"/>
      <w:lvlText w:val="•"/>
      <w:lvlJc w:val="left"/>
      <w:pPr>
        <w:ind w:left="127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64BA2">
      <w:start w:val="1"/>
      <w:numFmt w:val="bullet"/>
      <w:lvlText w:val="•"/>
      <w:lvlJc w:val="left"/>
      <w:pPr>
        <w:ind w:left="145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D08F1E">
      <w:start w:val="1"/>
      <w:numFmt w:val="bullet"/>
      <w:lvlText w:val="•"/>
      <w:lvlJc w:val="left"/>
      <w:pPr>
        <w:ind w:left="1636" w:hanging="19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18358D"/>
    <w:multiLevelType w:val="hybridMultilevel"/>
    <w:tmpl w:val="1C4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B5456"/>
    <w:multiLevelType w:val="hybridMultilevel"/>
    <w:tmpl w:val="45CE516A"/>
    <w:numStyleLink w:val="ImportedStyle1"/>
  </w:abstractNum>
  <w:abstractNum w:abstractNumId="13" w15:restartNumberingAfterBreak="0">
    <w:nsid w:val="617E68F8"/>
    <w:multiLevelType w:val="hybridMultilevel"/>
    <w:tmpl w:val="8A984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54065"/>
    <w:multiLevelType w:val="multilevel"/>
    <w:tmpl w:val="4CCA45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A1F7EFB"/>
    <w:multiLevelType w:val="hybridMultilevel"/>
    <w:tmpl w:val="853EFFDC"/>
    <w:styleLink w:val="Bullet"/>
    <w:lvl w:ilvl="0" w:tplc="534E6CB2">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89FCEFB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47E5D7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18EA2D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746726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D4407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3DE578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ACC15E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7444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6BA26A10"/>
    <w:multiLevelType w:val="multilevel"/>
    <w:tmpl w:val="5B02CB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0537F7E"/>
    <w:multiLevelType w:val="hybridMultilevel"/>
    <w:tmpl w:val="CFF8E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A40F47"/>
    <w:multiLevelType w:val="hybridMultilevel"/>
    <w:tmpl w:val="45CE516A"/>
    <w:styleLink w:val="ImportedStyle1"/>
    <w:lvl w:ilvl="0" w:tplc="45CE516A">
      <w:start w:val="1"/>
      <w:numFmt w:val="decimal"/>
      <w:lvlText w:val="%1."/>
      <w:lvlJc w:val="left"/>
      <w:pPr>
        <w:tabs>
          <w:tab w:val="left" w:pos="72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F520C5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ACCC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44451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42570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50D1C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7E04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E224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56777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272950"/>
    <w:multiLevelType w:val="hybridMultilevel"/>
    <w:tmpl w:val="853EFFDC"/>
    <w:numStyleLink w:val="Bullet"/>
  </w:abstractNum>
  <w:abstractNum w:abstractNumId="20" w15:restartNumberingAfterBreak="0">
    <w:nsid w:val="76C53B30"/>
    <w:multiLevelType w:val="multilevel"/>
    <w:tmpl w:val="9C5AB4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A235466"/>
    <w:multiLevelType w:val="hybridMultilevel"/>
    <w:tmpl w:val="E60028A0"/>
    <w:lvl w:ilvl="0" w:tplc="528E697A">
      <w:start w:val="1"/>
      <w:numFmt w:val="decimal"/>
      <w:lvlText w:val="%1."/>
      <w:lvlJc w:val="left"/>
      <w:pPr>
        <w:ind w:left="360" w:hanging="360"/>
      </w:pPr>
      <w:rPr>
        <w:rFonts w:hint="default" w:ascii="Lato" w:hAnsi="Lato"/>
        <w:color w:val="000000" w:themeColor="text1"/>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1C1D49"/>
    <w:multiLevelType w:val="multilevel"/>
    <w:tmpl w:val="870E9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21088031">
    <w:abstractNumId w:val="9"/>
  </w:num>
  <w:num w:numId="2" w16cid:durableId="142622315">
    <w:abstractNumId w:val="4"/>
  </w:num>
  <w:num w:numId="3" w16cid:durableId="1942756800">
    <w:abstractNumId w:val="4"/>
    <w:lvlOverride w:ilvl="0">
      <w:startOverride w:val="1"/>
    </w:lvlOverride>
  </w:num>
  <w:num w:numId="4" w16cid:durableId="2043437552">
    <w:abstractNumId w:val="18"/>
  </w:num>
  <w:num w:numId="5" w16cid:durableId="122238301">
    <w:abstractNumId w:val="12"/>
  </w:num>
  <w:num w:numId="6" w16cid:durableId="1702896457">
    <w:abstractNumId w:val="15"/>
  </w:num>
  <w:num w:numId="7" w16cid:durableId="1146240423">
    <w:abstractNumId w:val="19"/>
  </w:num>
  <w:num w:numId="8" w16cid:durableId="363528715">
    <w:abstractNumId w:val="19"/>
    <w:lvlOverride w:ilvl="0">
      <w:lvl w:ilvl="0" w:tplc="E4426004">
        <w:start w:val="1"/>
        <w:numFmt w:val="bullet"/>
        <w:lvlText w:val="•"/>
        <w:lvlJc w:val="left"/>
        <w:pPr>
          <w:tabs>
            <w:tab w:val="left" w:pos="180"/>
            <w:tab w:val="num" w:pos="593"/>
          </w:tabs>
          <w:ind w:left="609" w:hanging="3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64A0976">
        <w:start w:val="1"/>
        <w:numFmt w:val="bullet"/>
        <w:lvlText w:val="•"/>
        <w:lvlJc w:val="left"/>
        <w:pPr>
          <w:tabs>
            <w:tab w:val="left" w:pos="180"/>
            <w:tab w:val="num" w:pos="376"/>
          </w:tabs>
          <w:ind w:left="39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2F8B760">
        <w:start w:val="1"/>
        <w:numFmt w:val="bullet"/>
        <w:lvlText w:val="•"/>
        <w:lvlJc w:val="left"/>
        <w:pPr>
          <w:tabs>
            <w:tab w:val="left" w:pos="180"/>
            <w:tab w:val="num" w:pos="556"/>
          </w:tabs>
          <w:ind w:left="57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C87118">
        <w:start w:val="1"/>
        <w:numFmt w:val="bullet"/>
        <w:lvlText w:val="•"/>
        <w:lvlJc w:val="left"/>
        <w:pPr>
          <w:tabs>
            <w:tab w:val="left" w:pos="180"/>
            <w:tab w:val="num" w:pos="736"/>
          </w:tabs>
          <w:ind w:left="75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EC53B0">
        <w:start w:val="1"/>
        <w:numFmt w:val="bullet"/>
        <w:lvlText w:val="•"/>
        <w:lvlJc w:val="left"/>
        <w:pPr>
          <w:tabs>
            <w:tab w:val="left" w:pos="180"/>
            <w:tab w:val="num" w:pos="916"/>
          </w:tabs>
          <w:ind w:left="93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762686">
        <w:start w:val="1"/>
        <w:numFmt w:val="bullet"/>
        <w:lvlText w:val="•"/>
        <w:lvlJc w:val="left"/>
        <w:pPr>
          <w:tabs>
            <w:tab w:val="left" w:pos="180"/>
            <w:tab w:val="num" w:pos="1096"/>
          </w:tabs>
          <w:ind w:left="111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498FC96">
        <w:start w:val="1"/>
        <w:numFmt w:val="bullet"/>
        <w:lvlText w:val="•"/>
        <w:lvlJc w:val="left"/>
        <w:pPr>
          <w:tabs>
            <w:tab w:val="left" w:pos="180"/>
            <w:tab w:val="num" w:pos="1276"/>
          </w:tabs>
          <w:ind w:left="129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C38ACBC">
        <w:start w:val="1"/>
        <w:numFmt w:val="bullet"/>
        <w:lvlText w:val="•"/>
        <w:lvlJc w:val="left"/>
        <w:pPr>
          <w:tabs>
            <w:tab w:val="left" w:pos="180"/>
            <w:tab w:val="num" w:pos="1456"/>
          </w:tabs>
          <w:ind w:left="1472" w:hanging="21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1F024FA">
        <w:start w:val="1"/>
        <w:numFmt w:val="bullet"/>
        <w:lvlText w:val="•"/>
        <w:lvlJc w:val="left"/>
        <w:pPr>
          <w:tabs>
            <w:tab w:val="left" w:pos="180"/>
            <w:tab w:val="num" w:pos="1636"/>
          </w:tabs>
          <w:ind w:left="1652" w:hanging="21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16cid:durableId="1141768680">
    <w:abstractNumId w:val="19"/>
    <w:lvlOverride w:ilvl="0">
      <w:lvl w:ilvl="0" w:tplc="E4426004">
        <w:start w:val="1"/>
        <w:numFmt w:val="bullet"/>
        <w:lvlText w:val="•"/>
        <w:lvlJc w:val="left"/>
        <w:pPr>
          <w:tabs>
            <w:tab w:val="left" w:pos="165"/>
            <w:tab w:val="num" w:pos="593"/>
          </w:tabs>
          <w:ind w:left="624" w:hanging="3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64A0976">
        <w:start w:val="1"/>
        <w:numFmt w:val="bullet"/>
        <w:lvlText w:val="•"/>
        <w:lvlJc w:val="left"/>
        <w:pPr>
          <w:tabs>
            <w:tab w:val="left" w:pos="165"/>
            <w:tab w:val="num" w:pos="376"/>
          </w:tabs>
          <w:ind w:left="40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2F8B760">
        <w:start w:val="1"/>
        <w:numFmt w:val="bullet"/>
        <w:lvlText w:val="•"/>
        <w:lvlJc w:val="left"/>
        <w:pPr>
          <w:tabs>
            <w:tab w:val="left" w:pos="165"/>
            <w:tab w:val="num" w:pos="556"/>
          </w:tabs>
          <w:ind w:left="58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C87118">
        <w:start w:val="1"/>
        <w:numFmt w:val="bullet"/>
        <w:lvlText w:val="•"/>
        <w:lvlJc w:val="left"/>
        <w:pPr>
          <w:tabs>
            <w:tab w:val="left" w:pos="165"/>
            <w:tab w:val="num" w:pos="736"/>
          </w:tabs>
          <w:ind w:left="76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EC53B0">
        <w:start w:val="1"/>
        <w:numFmt w:val="bullet"/>
        <w:lvlText w:val="•"/>
        <w:lvlJc w:val="left"/>
        <w:pPr>
          <w:tabs>
            <w:tab w:val="left" w:pos="165"/>
            <w:tab w:val="num" w:pos="916"/>
          </w:tabs>
          <w:ind w:left="94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762686">
        <w:start w:val="1"/>
        <w:numFmt w:val="bullet"/>
        <w:lvlText w:val="•"/>
        <w:lvlJc w:val="left"/>
        <w:pPr>
          <w:tabs>
            <w:tab w:val="left" w:pos="165"/>
            <w:tab w:val="num" w:pos="1096"/>
          </w:tabs>
          <w:ind w:left="112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498FC96">
        <w:start w:val="1"/>
        <w:numFmt w:val="bullet"/>
        <w:lvlText w:val="•"/>
        <w:lvlJc w:val="left"/>
        <w:pPr>
          <w:tabs>
            <w:tab w:val="left" w:pos="165"/>
            <w:tab w:val="num" w:pos="1276"/>
          </w:tabs>
          <w:ind w:left="130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C38ACBC">
        <w:start w:val="1"/>
        <w:numFmt w:val="bullet"/>
        <w:lvlText w:val="•"/>
        <w:lvlJc w:val="left"/>
        <w:pPr>
          <w:tabs>
            <w:tab w:val="left" w:pos="165"/>
            <w:tab w:val="num" w:pos="1456"/>
          </w:tabs>
          <w:ind w:left="1487" w:hanging="2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1F024FA">
        <w:start w:val="1"/>
        <w:numFmt w:val="bullet"/>
        <w:lvlText w:val="•"/>
        <w:lvlJc w:val="left"/>
        <w:pPr>
          <w:tabs>
            <w:tab w:val="left" w:pos="165"/>
            <w:tab w:val="num" w:pos="1636"/>
          </w:tabs>
          <w:ind w:left="1667" w:hanging="22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16cid:durableId="956764388">
    <w:abstractNumId w:val="19"/>
    <w:lvlOverride w:ilvl="0">
      <w:lvl w:ilvl="0" w:tplc="E4426004">
        <w:start w:val="1"/>
        <w:numFmt w:val="bullet"/>
        <w:lvlText w:val="•"/>
        <w:lvlJc w:val="left"/>
        <w:pPr>
          <w:tabs>
            <w:tab w:val="left" w:pos="180"/>
            <w:tab w:val="num" w:pos="567"/>
          </w:tabs>
          <w:ind w:left="583" w:hanging="29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64A0976">
        <w:start w:val="1"/>
        <w:numFmt w:val="bullet"/>
        <w:lvlText w:val="•"/>
        <w:lvlJc w:val="left"/>
        <w:pPr>
          <w:tabs>
            <w:tab w:val="left" w:pos="180"/>
            <w:tab w:val="num" w:pos="3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2F8B760">
        <w:start w:val="1"/>
        <w:numFmt w:val="bullet"/>
        <w:lvlText w:val="•"/>
        <w:lvlJc w:val="left"/>
        <w:pPr>
          <w:tabs>
            <w:tab w:val="left" w:pos="180"/>
            <w:tab w:val="num" w:pos="5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C87118">
        <w:start w:val="1"/>
        <w:numFmt w:val="bullet"/>
        <w:lvlText w:val="•"/>
        <w:lvlJc w:val="left"/>
        <w:pPr>
          <w:tabs>
            <w:tab w:val="left" w:pos="180"/>
            <w:tab w:val="num" w:pos="7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EC53B0">
        <w:start w:val="1"/>
        <w:numFmt w:val="bullet"/>
        <w:lvlText w:val="•"/>
        <w:lvlJc w:val="left"/>
        <w:pPr>
          <w:tabs>
            <w:tab w:val="left" w:pos="180"/>
            <w:tab w:val="num" w:pos="90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762686">
        <w:start w:val="1"/>
        <w:numFmt w:val="bullet"/>
        <w:lvlText w:val="•"/>
        <w:lvlJc w:val="left"/>
        <w:pPr>
          <w:tabs>
            <w:tab w:val="left" w:pos="180"/>
            <w:tab w:val="num" w:pos="108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498FC96">
        <w:start w:val="1"/>
        <w:numFmt w:val="bullet"/>
        <w:lvlText w:val="•"/>
        <w:lvlJc w:val="left"/>
        <w:pPr>
          <w:tabs>
            <w:tab w:val="left" w:pos="180"/>
            <w:tab w:val="num" w:pos="12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C38ACBC">
        <w:start w:val="1"/>
        <w:numFmt w:val="bullet"/>
        <w:lvlText w:val="•"/>
        <w:lvlJc w:val="left"/>
        <w:pPr>
          <w:tabs>
            <w:tab w:val="left" w:pos="180"/>
            <w:tab w:val="num" w:pos="14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1F024FA">
        <w:start w:val="1"/>
        <w:numFmt w:val="bullet"/>
        <w:lvlText w:val="•"/>
        <w:lvlJc w:val="left"/>
        <w:pPr>
          <w:tabs>
            <w:tab w:val="left" w:pos="180"/>
            <w:tab w:val="num" w:pos="16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16cid:durableId="344064665">
    <w:abstractNumId w:val="19"/>
    <w:lvlOverride w:ilvl="0">
      <w:lvl w:ilvl="0" w:tplc="E4426004">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64A097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2F8B7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C8711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EC53B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7626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498FC9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C38ACB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1F024F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16cid:durableId="1049107732">
    <w:abstractNumId w:val="10"/>
  </w:num>
  <w:num w:numId="13" w16cid:durableId="950822004">
    <w:abstractNumId w:val="0"/>
  </w:num>
  <w:num w:numId="14" w16cid:durableId="766465978">
    <w:abstractNumId w:val="11"/>
  </w:num>
  <w:num w:numId="15" w16cid:durableId="1495219407">
    <w:abstractNumId w:val="7"/>
  </w:num>
  <w:num w:numId="16" w16cid:durableId="301153289">
    <w:abstractNumId w:val="13"/>
  </w:num>
  <w:num w:numId="17" w16cid:durableId="1103768405">
    <w:abstractNumId w:val="16"/>
  </w:num>
  <w:num w:numId="18" w16cid:durableId="548079580">
    <w:abstractNumId w:val="20"/>
  </w:num>
  <w:num w:numId="19" w16cid:durableId="723144666">
    <w:abstractNumId w:val="5"/>
  </w:num>
  <w:num w:numId="20" w16cid:durableId="605505124">
    <w:abstractNumId w:val="3"/>
  </w:num>
  <w:num w:numId="21" w16cid:durableId="561449490">
    <w:abstractNumId w:val="14"/>
  </w:num>
  <w:num w:numId="22" w16cid:durableId="150221028">
    <w:abstractNumId w:val="22"/>
  </w:num>
  <w:num w:numId="23" w16cid:durableId="1168785700">
    <w:abstractNumId w:val="8"/>
  </w:num>
  <w:num w:numId="24" w16cid:durableId="1380663613">
    <w:abstractNumId w:val="6"/>
  </w:num>
  <w:num w:numId="25" w16cid:durableId="1911110469">
    <w:abstractNumId w:val="1"/>
  </w:num>
  <w:num w:numId="26" w16cid:durableId="1715040561">
    <w:abstractNumId w:val="2"/>
  </w:num>
  <w:num w:numId="27" w16cid:durableId="22753529">
    <w:abstractNumId w:val="17"/>
  </w:num>
  <w:num w:numId="28" w16cid:durableId="812596675">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2D"/>
    <w:rsid w:val="000028D4"/>
    <w:rsid w:val="00015015"/>
    <w:rsid w:val="00037250"/>
    <w:rsid w:val="00064751"/>
    <w:rsid w:val="000721FB"/>
    <w:rsid w:val="000780E9"/>
    <w:rsid w:val="00092945"/>
    <w:rsid w:val="000B5D83"/>
    <w:rsid w:val="000C39D0"/>
    <w:rsid w:val="000C416B"/>
    <w:rsid w:val="000E197E"/>
    <w:rsid w:val="00104597"/>
    <w:rsid w:val="001101D7"/>
    <w:rsid w:val="00136540"/>
    <w:rsid w:val="00141991"/>
    <w:rsid w:val="00142A2D"/>
    <w:rsid w:val="00165F60"/>
    <w:rsid w:val="00174402"/>
    <w:rsid w:val="00176238"/>
    <w:rsid w:val="001767BF"/>
    <w:rsid w:val="00182287"/>
    <w:rsid w:val="00192FD1"/>
    <w:rsid w:val="001A4774"/>
    <w:rsid w:val="001A6E41"/>
    <w:rsid w:val="001B1A47"/>
    <w:rsid w:val="001C4319"/>
    <w:rsid w:val="001D3710"/>
    <w:rsid w:val="001E51D5"/>
    <w:rsid w:val="001F6C09"/>
    <w:rsid w:val="00206986"/>
    <w:rsid w:val="002355E1"/>
    <w:rsid w:val="00250623"/>
    <w:rsid w:val="00260AC3"/>
    <w:rsid w:val="00272DCD"/>
    <w:rsid w:val="002B1B93"/>
    <w:rsid w:val="002E5209"/>
    <w:rsid w:val="002E56A9"/>
    <w:rsid w:val="00324CFE"/>
    <w:rsid w:val="003469B0"/>
    <w:rsid w:val="00353999"/>
    <w:rsid w:val="00357C5D"/>
    <w:rsid w:val="00361A74"/>
    <w:rsid w:val="00364D81"/>
    <w:rsid w:val="00367B85"/>
    <w:rsid w:val="00373C2C"/>
    <w:rsid w:val="0038365F"/>
    <w:rsid w:val="003947E8"/>
    <w:rsid w:val="003A79FE"/>
    <w:rsid w:val="003B0B22"/>
    <w:rsid w:val="003C41D4"/>
    <w:rsid w:val="003D41E1"/>
    <w:rsid w:val="004070D5"/>
    <w:rsid w:val="00412BD4"/>
    <w:rsid w:val="00436D3C"/>
    <w:rsid w:val="00447E9C"/>
    <w:rsid w:val="00452A70"/>
    <w:rsid w:val="004545AC"/>
    <w:rsid w:val="00457AD5"/>
    <w:rsid w:val="00496E14"/>
    <w:rsid w:val="004D6EB3"/>
    <w:rsid w:val="004F07EF"/>
    <w:rsid w:val="00541D4A"/>
    <w:rsid w:val="005431B2"/>
    <w:rsid w:val="005434C8"/>
    <w:rsid w:val="00557433"/>
    <w:rsid w:val="00583EFC"/>
    <w:rsid w:val="00585614"/>
    <w:rsid w:val="00586FDF"/>
    <w:rsid w:val="005B0E84"/>
    <w:rsid w:val="005B77AF"/>
    <w:rsid w:val="005C7470"/>
    <w:rsid w:val="0060AA52"/>
    <w:rsid w:val="0061542E"/>
    <w:rsid w:val="0062792F"/>
    <w:rsid w:val="0063033A"/>
    <w:rsid w:val="00632086"/>
    <w:rsid w:val="00634C8E"/>
    <w:rsid w:val="0064023A"/>
    <w:rsid w:val="00645E78"/>
    <w:rsid w:val="006831CC"/>
    <w:rsid w:val="006847C9"/>
    <w:rsid w:val="0068715F"/>
    <w:rsid w:val="00696BB2"/>
    <w:rsid w:val="006A542E"/>
    <w:rsid w:val="007066AD"/>
    <w:rsid w:val="007134F3"/>
    <w:rsid w:val="00715FC8"/>
    <w:rsid w:val="00733804"/>
    <w:rsid w:val="0074604A"/>
    <w:rsid w:val="00751318"/>
    <w:rsid w:val="007777B1"/>
    <w:rsid w:val="00792681"/>
    <w:rsid w:val="007A2B5D"/>
    <w:rsid w:val="007D1CBE"/>
    <w:rsid w:val="008064AD"/>
    <w:rsid w:val="00820C83"/>
    <w:rsid w:val="00823728"/>
    <w:rsid w:val="00873819"/>
    <w:rsid w:val="00885A70"/>
    <w:rsid w:val="008933FF"/>
    <w:rsid w:val="008D42DF"/>
    <w:rsid w:val="008E662A"/>
    <w:rsid w:val="00923EB1"/>
    <w:rsid w:val="00930CEB"/>
    <w:rsid w:val="00940266"/>
    <w:rsid w:val="0096176D"/>
    <w:rsid w:val="009769ED"/>
    <w:rsid w:val="009806C1"/>
    <w:rsid w:val="009C4A8B"/>
    <w:rsid w:val="009C50D6"/>
    <w:rsid w:val="00A06B00"/>
    <w:rsid w:val="00A76F12"/>
    <w:rsid w:val="00A82707"/>
    <w:rsid w:val="00A831CF"/>
    <w:rsid w:val="00A846E4"/>
    <w:rsid w:val="00AC43BA"/>
    <w:rsid w:val="00AF4441"/>
    <w:rsid w:val="00B055B4"/>
    <w:rsid w:val="00B52E41"/>
    <w:rsid w:val="00B52FB3"/>
    <w:rsid w:val="00B57835"/>
    <w:rsid w:val="00BE2F58"/>
    <w:rsid w:val="00BE5909"/>
    <w:rsid w:val="00BE612E"/>
    <w:rsid w:val="00BE68DA"/>
    <w:rsid w:val="00C03E5B"/>
    <w:rsid w:val="00C53B1B"/>
    <w:rsid w:val="00C55AA2"/>
    <w:rsid w:val="00C76570"/>
    <w:rsid w:val="00C84113"/>
    <w:rsid w:val="00CA00DD"/>
    <w:rsid w:val="00CC69CC"/>
    <w:rsid w:val="00CD699A"/>
    <w:rsid w:val="00D10FF3"/>
    <w:rsid w:val="00D3147A"/>
    <w:rsid w:val="00D63742"/>
    <w:rsid w:val="00D66C78"/>
    <w:rsid w:val="00D700CD"/>
    <w:rsid w:val="00DA1D7D"/>
    <w:rsid w:val="00DA4A15"/>
    <w:rsid w:val="00DD3603"/>
    <w:rsid w:val="00DE540C"/>
    <w:rsid w:val="00DF4254"/>
    <w:rsid w:val="00DF716D"/>
    <w:rsid w:val="00E012AE"/>
    <w:rsid w:val="00E32827"/>
    <w:rsid w:val="00E969A6"/>
    <w:rsid w:val="00EA23EB"/>
    <w:rsid w:val="00EC5152"/>
    <w:rsid w:val="00EE17DF"/>
    <w:rsid w:val="00EE3C41"/>
    <w:rsid w:val="00F06B50"/>
    <w:rsid w:val="00F13B98"/>
    <w:rsid w:val="00F14CBB"/>
    <w:rsid w:val="00F17EC7"/>
    <w:rsid w:val="00F21034"/>
    <w:rsid w:val="00F24A6B"/>
    <w:rsid w:val="00F26A49"/>
    <w:rsid w:val="00F56798"/>
    <w:rsid w:val="00F7668D"/>
    <w:rsid w:val="00F923D1"/>
    <w:rsid w:val="00FA3215"/>
    <w:rsid w:val="00FC224C"/>
    <w:rsid w:val="00FE5A26"/>
    <w:rsid w:val="00FF071A"/>
    <w:rsid w:val="01156AA3"/>
    <w:rsid w:val="021DDCE4"/>
    <w:rsid w:val="02B13B04"/>
    <w:rsid w:val="02D7C3AF"/>
    <w:rsid w:val="02DDBDE6"/>
    <w:rsid w:val="03260602"/>
    <w:rsid w:val="03DEAFDB"/>
    <w:rsid w:val="0413F1AF"/>
    <w:rsid w:val="0447AE90"/>
    <w:rsid w:val="047CCDFC"/>
    <w:rsid w:val="04817377"/>
    <w:rsid w:val="05557DA6"/>
    <w:rsid w:val="059A1892"/>
    <w:rsid w:val="05CA590E"/>
    <w:rsid w:val="06A97C93"/>
    <w:rsid w:val="06F2D44C"/>
    <w:rsid w:val="07A46A74"/>
    <w:rsid w:val="07F763AB"/>
    <w:rsid w:val="083E8083"/>
    <w:rsid w:val="08A368FD"/>
    <w:rsid w:val="09098213"/>
    <w:rsid w:val="094CFF6A"/>
    <w:rsid w:val="09B12642"/>
    <w:rsid w:val="09B4B312"/>
    <w:rsid w:val="09DCC1EA"/>
    <w:rsid w:val="0A1F6A2B"/>
    <w:rsid w:val="0AAC8FB0"/>
    <w:rsid w:val="0AC4CF2D"/>
    <w:rsid w:val="0ACC94DF"/>
    <w:rsid w:val="0B09CE72"/>
    <w:rsid w:val="0B128CA0"/>
    <w:rsid w:val="0B20E92C"/>
    <w:rsid w:val="0B436693"/>
    <w:rsid w:val="0B58E508"/>
    <w:rsid w:val="0B5B1F8A"/>
    <w:rsid w:val="0B899387"/>
    <w:rsid w:val="0BBB7CDB"/>
    <w:rsid w:val="0C3AEB0B"/>
    <w:rsid w:val="0C883FFF"/>
    <w:rsid w:val="0E416F34"/>
    <w:rsid w:val="0F20F4F2"/>
    <w:rsid w:val="0F2DE0A8"/>
    <w:rsid w:val="0F486BB7"/>
    <w:rsid w:val="0F99273A"/>
    <w:rsid w:val="102A9BED"/>
    <w:rsid w:val="1037367C"/>
    <w:rsid w:val="115D68A8"/>
    <w:rsid w:val="12A89D2E"/>
    <w:rsid w:val="12C39B5E"/>
    <w:rsid w:val="12D6F740"/>
    <w:rsid w:val="1309D8B7"/>
    <w:rsid w:val="131E71D4"/>
    <w:rsid w:val="13757D61"/>
    <w:rsid w:val="1386C2D0"/>
    <w:rsid w:val="1433192F"/>
    <w:rsid w:val="14446D8F"/>
    <w:rsid w:val="149393C2"/>
    <w:rsid w:val="14F275E1"/>
    <w:rsid w:val="1508B946"/>
    <w:rsid w:val="15A473AB"/>
    <w:rsid w:val="15D5AE7A"/>
    <w:rsid w:val="15EC73D3"/>
    <w:rsid w:val="15FED048"/>
    <w:rsid w:val="163D1E16"/>
    <w:rsid w:val="167C1879"/>
    <w:rsid w:val="17C36CBD"/>
    <w:rsid w:val="1817E8DA"/>
    <w:rsid w:val="182F4434"/>
    <w:rsid w:val="184C531B"/>
    <w:rsid w:val="18A1ED69"/>
    <w:rsid w:val="18AB2FB8"/>
    <w:rsid w:val="18DFD98E"/>
    <w:rsid w:val="1902DD80"/>
    <w:rsid w:val="1921C040"/>
    <w:rsid w:val="19682F50"/>
    <w:rsid w:val="1A7BA9EF"/>
    <w:rsid w:val="1AE9ACE9"/>
    <w:rsid w:val="1AED531C"/>
    <w:rsid w:val="1B9D6815"/>
    <w:rsid w:val="1BC2DFCE"/>
    <w:rsid w:val="1BD8052C"/>
    <w:rsid w:val="1D2211A5"/>
    <w:rsid w:val="1D31EC4D"/>
    <w:rsid w:val="1D433231"/>
    <w:rsid w:val="1D9177D9"/>
    <w:rsid w:val="1E1E2B0F"/>
    <w:rsid w:val="1EAE971A"/>
    <w:rsid w:val="1F112EED"/>
    <w:rsid w:val="1F878DB6"/>
    <w:rsid w:val="20086357"/>
    <w:rsid w:val="206E83AB"/>
    <w:rsid w:val="2142AF51"/>
    <w:rsid w:val="219EE60D"/>
    <w:rsid w:val="21B7D08C"/>
    <w:rsid w:val="22987BB3"/>
    <w:rsid w:val="22ABAE77"/>
    <w:rsid w:val="22F4BECE"/>
    <w:rsid w:val="22F9D837"/>
    <w:rsid w:val="23AF4FDE"/>
    <w:rsid w:val="23F3EE0A"/>
    <w:rsid w:val="241D5FB7"/>
    <w:rsid w:val="243A22D5"/>
    <w:rsid w:val="24983CD2"/>
    <w:rsid w:val="25055E6A"/>
    <w:rsid w:val="25D6DFA0"/>
    <w:rsid w:val="25E71AEB"/>
    <w:rsid w:val="2613DA97"/>
    <w:rsid w:val="26695181"/>
    <w:rsid w:val="27450440"/>
    <w:rsid w:val="291F23C1"/>
    <w:rsid w:val="293498D9"/>
    <w:rsid w:val="2958BA8E"/>
    <w:rsid w:val="29A26501"/>
    <w:rsid w:val="29E76C50"/>
    <w:rsid w:val="2A867CAB"/>
    <w:rsid w:val="2AFFD0B3"/>
    <w:rsid w:val="2C661EFE"/>
    <w:rsid w:val="2C99D123"/>
    <w:rsid w:val="2CD5970C"/>
    <w:rsid w:val="2D9D46A0"/>
    <w:rsid w:val="2DCCC211"/>
    <w:rsid w:val="2E060CC2"/>
    <w:rsid w:val="2E271A4A"/>
    <w:rsid w:val="2E2BB128"/>
    <w:rsid w:val="2E87A2D7"/>
    <w:rsid w:val="2E89D5C4"/>
    <w:rsid w:val="2F0DE80B"/>
    <w:rsid w:val="2F2D4E4A"/>
    <w:rsid w:val="2F87C3B4"/>
    <w:rsid w:val="2F933202"/>
    <w:rsid w:val="2FE8E94F"/>
    <w:rsid w:val="30028158"/>
    <w:rsid w:val="306DBAA0"/>
    <w:rsid w:val="3176FFBD"/>
    <w:rsid w:val="317E3245"/>
    <w:rsid w:val="32CFDFCE"/>
    <w:rsid w:val="32E3F3C1"/>
    <w:rsid w:val="33380510"/>
    <w:rsid w:val="33398E0F"/>
    <w:rsid w:val="33AA8661"/>
    <w:rsid w:val="3405F115"/>
    <w:rsid w:val="3423B007"/>
    <w:rsid w:val="35A7EBA2"/>
    <w:rsid w:val="35CC92DA"/>
    <w:rsid w:val="36801EBB"/>
    <w:rsid w:val="36E22723"/>
    <w:rsid w:val="3716E8FC"/>
    <w:rsid w:val="375B50C9"/>
    <w:rsid w:val="381465CC"/>
    <w:rsid w:val="387DF784"/>
    <w:rsid w:val="395BFD48"/>
    <w:rsid w:val="39D40D5A"/>
    <w:rsid w:val="3ABFB3E6"/>
    <w:rsid w:val="3ADCDC9F"/>
    <w:rsid w:val="3B1DE203"/>
    <w:rsid w:val="3B656C9E"/>
    <w:rsid w:val="3B967981"/>
    <w:rsid w:val="3BC40E24"/>
    <w:rsid w:val="3BD79390"/>
    <w:rsid w:val="3C5223C4"/>
    <w:rsid w:val="3CCFA681"/>
    <w:rsid w:val="3D5E4D60"/>
    <w:rsid w:val="3E3C5A68"/>
    <w:rsid w:val="3FD7A5D6"/>
    <w:rsid w:val="40CE3E8A"/>
    <w:rsid w:val="4113CF7F"/>
    <w:rsid w:val="4181633A"/>
    <w:rsid w:val="41BF4075"/>
    <w:rsid w:val="42601A59"/>
    <w:rsid w:val="426A5A0C"/>
    <w:rsid w:val="42AF9FE0"/>
    <w:rsid w:val="4361C743"/>
    <w:rsid w:val="43E79CAF"/>
    <w:rsid w:val="4416ED70"/>
    <w:rsid w:val="441AAED1"/>
    <w:rsid w:val="4446C8EA"/>
    <w:rsid w:val="44AB9BEC"/>
    <w:rsid w:val="44C2F458"/>
    <w:rsid w:val="44F1E6C1"/>
    <w:rsid w:val="4511BD01"/>
    <w:rsid w:val="4536AE36"/>
    <w:rsid w:val="455838CE"/>
    <w:rsid w:val="4574B4A5"/>
    <w:rsid w:val="458FA8CE"/>
    <w:rsid w:val="45B67F32"/>
    <w:rsid w:val="463AE794"/>
    <w:rsid w:val="46927FD6"/>
    <w:rsid w:val="46A8ED49"/>
    <w:rsid w:val="48BB0DD2"/>
    <w:rsid w:val="48FB537A"/>
    <w:rsid w:val="4A3F7863"/>
    <w:rsid w:val="4AB2B650"/>
    <w:rsid w:val="4B697977"/>
    <w:rsid w:val="4BF2AE94"/>
    <w:rsid w:val="4CE1742D"/>
    <w:rsid w:val="4D214490"/>
    <w:rsid w:val="4D666D18"/>
    <w:rsid w:val="4D8E7EF5"/>
    <w:rsid w:val="4D9F025A"/>
    <w:rsid w:val="4DD11F37"/>
    <w:rsid w:val="4E14FDA8"/>
    <w:rsid w:val="4E2184A1"/>
    <w:rsid w:val="4E7D448E"/>
    <w:rsid w:val="4EA385F4"/>
    <w:rsid w:val="4EF71AF2"/>
    <w:rsid w:val="4F022D9A"/>
    <w:rsid w:val="4F2A4F56"/>
    <w:rsid w:val="50B43DA4"/>
    <w:rsid w:val="51071C02"/>
    <w:rsid w:val="5140F3A5"/>
    <w:rsid w:val="52556ADA"/>
    <w:rsid w:val="5272737D"/>
    <w:rsid w:val="5397633F"/>
    <w:rsid w:val="53F00C38"/>
    <w:rsid w:val="54F028DE"/>
    <w:rsid w:val="55AA143F"/>
    <w:rsid w:val="55D49082"/>
    <w:rsid w:val="568BF93F"/>
    <w:rsid w:val="56AD3A35"/>
    <w:rsid w:val="5729A435"/>
    <w:rsid w:val="57589F2C"/>
    <w:rsid w:val="575D3529"/>
    <w:rsid w:val="57807B9B"/>
    <w:rsid w:val="57836FF8"/>
    <w:rsid w:val="58A23BDC"/>
    <w:rsid w:val="58E1B501"/>
    <w:rsid w:val="5B429F39"/>
    <w:rsid w:val="5BA6C8CE"/>
    <w:rsid w:val="5BB4FACB"/>
    <w:rsid w:val="5BBAD338"/>
    <w:rsid w:val="5BE24F13"/>
    <w:rsid w:val="5C51E6A5"/>
    <w:rsid w:val="5C56E11B"/>
    <w:rsid w:val="5C8F8EE6"/>
    <w:rsid w:val="5CEB8B30"/>
    <w:rsid w:val="5D1FD2AA"/>
    <w:rsid w:val="5D7DDE93"/>
    <w:rsid w:val="5D8F2FDB"/>
    <w:rsid w:val="5D8F5B4C"/>
    <w:rsid w:val="5DBD604E"/>
    <w:rsid w:val="5DE45E22"/>
    <w:rsid w:val="5DF80859"/>
    <w:rsid w:val="5E708F82"/>
    <w:rsid w:val="5EBBA30B"/>
    <w:rsid w:val="5EDE6990"/>
    <w:rsid w:val="5F1F6DB5"/>
    <w:rsid w:val="5F898767"/>
    <w:rsid w:val="5FA95793"/>
    <w:rsid w:val="5FFF9FEE"/>
    <w:rsid w:val="6013A71B"/>
    <w:rsid w:val="6015D2F3"/>
    <w:rsid w:val="6028FCFB"/>
    <w:rsid w:val="606AC582"/>
    <w:rsid w:val="60E7DAB8"/>
    <w:rsid w:val="617736B3"/>
    <w:rsid w:val="61AB84C3"/>
    <w:rsid w:val="623FEBDF"/>
    <w:rsid w:val="6247F56A"/>
    <w:rsid w:val="6261D119"/>
    <w:rsid w:val="62F9078E"/>
    <w:rsid w:val="6367CA39"/>
    <w:rsid w:val="641F7B7A"/>
    <w:rsid w:val="64989328"/>
    <w:rsid w:val="653258A3"/>
    <w:rsid w:val="65C8258F"/>
    <w:rsid w:val="66786D27"/>
    <w:rsid w:val="66B5A326"/>
    <w:rsid w:val="66CB4B85"/>
    <w:rsid w:val="674C7E86"/>
    <w:rsid w:val="6776AB92"/>
    <w:rsid w:val="67B96CDA"/>
    <w:rsid w:val="67FB0247"/>
    <w:rsid w:val="68671BE6"/>
    <w:rsid w:val="698EBB98"/>
    <w:rsid w:val="69A2E791"/>
    <w:rsid w:val="69B0B34F"/>
    <w:rsid w:val="69FCA52C"/>
    <w:rsid w:val="6A53074F"/>
    <w:rsid w:val="6AC5F58C"/>
    <w:rsid w:val="6C376713"/>
    <w:rsid w:val="6C637E48"/>
    <w:rsid w:val="6CEF6E33"/>
    <w:rsid w:val="6DA3EB7F"/>
    <w:rsid w:val="6DA6DFDC"/>
    <w:rsid w:val="6EBA0D59"/>
    <w:rsid w:val="6F614DE2"/>
    <w:rsid w:val="6F880BD3"/>
    <w:rsid w:val="6F981D00"/>
    <w:rsid w:val="6FA66A90"/>
    <w:rsid w:val="700250AD"/>
    <w:rsid w:val="7064BBAC"/>
    <w:rsid w:val="70733A4A"/>
    <w:rsid w:val="70C5A385"/>
    <w:rsid w:val="70D7E6D4"/>
    <w:rsid w:val="70DE809E"/>
    <w:rsid w:val="71131260"/>
    <w:rsid w:val="7124F473"/>
    <w:rsid w:val="716414F1"/>
    <w:rsid w:val="730159A5"/>
    <w:rsid w:val="7351DC27"/>
    <w:rsid w:val="7354A6D2"/>
    <w:rsid w:val="73A9CE8D"/>
    <w:rsid w:val="74A4EF51"/>
    <w:rsid w:val="74BFD14F"/>
    <w:rsid w:val="75D08F66"/>
    <w:rsid w:val="7644A462"/>
    <w:rsid w:val="766F691D"/>
    <w:rsid w:val="76B0DC0F"/>
    <w:rsid w:val="7792DB69"/>
    <w:rsid w:val="779F5658"/>
    <w:rsid w:val="78D5483E"/>
    <w:rsid w:val="793014AF"/>
    <w:rsid w:val="7AA40089"/>
    <w:rsid w:val="7B409452"/>
    <w:rsid w:val="7B95BB72"/>
    <w:rsid w:val="7B9A8389"/>
    <w:rsid w:val="7BF8B5A7"/>
    <w:rsid w:val="7C335E3E"/>
    <w:rsid w:val="7CBBAA24"/>
    <w:rsid w:val="7DA8B961"/>
    <w:rsid w:val="7DE8F490"/>
    <w:rsid w:val="7E69FEA4"/>
    <w:rsid w:val="7E9A4A12"/>
    <w:rsid w:val="7EDABE6A"/>
    <w:rsid w:val="7EE63C21"/>
    <w:rsid w:val="7F5B110E"/>
    <w:rsid w:val="7F5F20FE"/>
    <w:rsid w:val="7F84C4F1"/>
    <w:rsid w:val="7FF2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A0CA4"/>
  <w15:docId w15:val="{BE33E9E8-F8EF-554D-A0C4-12430E0A46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3">
    <w:name w:val="heading 3"/>
    <w:basedOn w:val="Normal"/>
    <w:link w:val="Heading3Char"/>
    <w:uiPriority w:val="9"/>
    <w:qFormat/>
    <w:rsid w:val="003947E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outlineLvl w:val="2"/>
    </w:pPr>
    <w:rPr>
      <w:rFonts w:eastAsia="Times New Roman"/>
      <w:b/>
      <w:bCs/>
      <w:sz w:val="27"/>
      <w:szCs w:val="27"/>
      <w:bdr w:val="none" w:color="auto" w:sz="0" w:space="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 w:customStyle="1">
    <w:name w:val="Body"/>
    <w:rPr>
      <w:rFonts w:ascii="Helvetica Neue" w:hAnsi="Helvetica Neue" w:cs="Arial Unicode MS"/>
      <w:color w:val="000000"/>
      <w:sz w:val="22"/>
      <w:szCs w:val="22"/>
    </w:rPr>
  </w:style>
  <w:style w:type="paragraph" w:styleId="Default" w:customStyle="1">
    <w:name w:val="Default"/>
    <w:rPr>
      <w:rFonts w:ascii="Helvetica Neue" w:hAnsi="Helvetica Neue" w:eastAsia="Helvetica Neue" w:cs="Helvetica Neue"/>
      <w:color w:val="000000"/>
      <w:sz w:val="22"/>
      <w:szCs w:val="22"/>
    </w:rPr>
  </w:style>
  <w:style w:type="numbering" w:styleId="Numbered" w:customStyle="1">
    <w:name w:val="Numbered"/>
    <w:pPr>
      <w:numPr>
        <w:numId w:val="1"/>
      </w:numPr>
    </w:pPr>
  </w:style>
  <w:style w:type="numbering" w:styleId="ImportedStyle1" w:customStyle="1">
    <w:name w:val="Imported Style 1"/>
    <w:pPr>
      <w:numPr>
        <w:numId w:val="4"/>
      </w:numPr>
    </w:pPr>
  </w:style>
  <w:style w:type="paragraph" w:styleId="Heading" w:customStyle="1">
    <w:name w:val="Heading"/>
    <w:next w:val="Body"/>
    <w:pPr>
      <w:keepNext/>
      <w:outlineLvl w:val="0"/>
    </w:pPr>
    <w:rPr>
      <w:rFonts w:ascii="Helvetica Neue" w:hAnsi="Helvetica Neue" w:cs="Arial Unicode MS"/>
      <w:b/>
      <w:bCs/>
      <w:color w:val="000000"/>
      <w:sz w:val="36"/>
      <w:szCs w:val="36"/>
      <w:lang w:val="en-US"/>
    </w:rPr>
  </w:style>
  <w:style w:type="numbering" w:styleId="Bullet" w:customStyle="1">
    <w:name w:val="Bullet"/>
    <w:pPr>
      <w:numPr>
        <w:numId w:val="6"/>
      </w:numPr>
    </w:pPr>
  </w:style>
  <w:style w:type="paragraph" w:styleId="Header">
    <w:name w:val="header"/>
    <w:basedOn w:val="Normal"/>
    <w:link w:val="HeaderChar"/>
    <w:uiPriority w:val="99"/>
    <w:unhideWhenUsed/>
    <w:rsid w:val="007066AD"/>
    <w:pPr>
      <w:tabs>
        <w:tab w:val="center" w:pos="4680"/>
        <w:tab w:val="right" w:pos="9360"/>
      </w:tabs>
    </w:pPr>
  </w:style>
  <w:style w:type="character" w:styleId="HeaderChar" w:customStyle="1">
    <w:name w:val="Header Char"/>
    <w:basedOn w:val="DefaultParagraphFont"/>
    <w:link w:val="Header"/>
    <w:uiPriority w:val="99"/>
    <w:rsid w:val="007066AD"/>
    <w:rPr>
      <w:sz w:val="24"/>
      <w:szCs w:val="24"/>
      <w:lang w:val="en-US" w:eastAsia="en-US"/>
    </w:rPr>
  </w:style>
  <w:style w:type="paragraph" w:styleId="Footer">
    <w:name w:val="footer"/>
    <w:basedOn w:val="Normal"/>
    <w:link w:val="FooterChar"/>
    <w:uiPriority w:val="99"/>
    <w:unhideWhenUsed/>
    <w:rsid w:val="007066AD"/>
    <w:pPr>
      <w:tabs>
        <w:tab w:val="center" w:pos="4680"/>
        <w:tab w:val="right" w:pos="9360"/>
      </w:tabs>
    </w:pPr>
  </w:style>
  <w:style w:type="character" w:styleId="FooterChar" w:customStyle="1">
    <w:name w:val="Footer Char"/>
    <w:basedOn w:val="DefaultParagraphFont"/>
    <w:link w:val="Footer"/>
    <w:uiPriority w:val="99"/>
    <w:rsid w:val="007066AD"/>
    <w:rPr>
      <w:sz w:val="24"/>
      <w:szCs w:val="24"/>
      <w:lang w:val="en-US" w:eastAsia="en-US"/>
    </w:rPr>
  </w:style>
  <w:style w:type="character" w:styleId="UnresolvedMention">
    <w:name w:val="Unresolved Mention"/>
    <w:basedOn w:val="DefaultParagraphFont"/>
    <w:uiPriority w:val="99"/>
    <w:semiHidden/>
    <w:unhideWhenUsed/>
    <w:rsid w:val="007066AD"/>
    <w:rPr>
      <w:color w:val="605E5C"/>
      <w:shd w:val="clear" w:color="auto" w:fill="E1DFDD"/>
    </w:rPr>
  </w:style>
  <w:style w:type="paragraph" w:styleId="nhsd-t-body" w:customStyle="1">
    <w:name w:val="nhsd-t-body"/>
    <w:basedOn w:val="Normal"/>
    <w:rsid w:val="00136540"/>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GB" w:eastAsia="en-GB"/>
    </w:rPr>
  </w:style>
  <w:style w:type="character" w:styleId="apple-converted-space" w:customStyle="1">
    <w:name w:val="apple-converted-space"/>
    <w:basedOn w:val="DefaultParagraphFont"/>
    <w:rsid w:val="00136540"/>
  </w:style>
  <w:style w:type="character" w:styleId="None" w:customStyle="1">
    <w:name w:val="None"/>
    <w:rsid w:val="000B5D83"/>
  </w:style>
  <w:style w:type="paragraph" w:styleId="BodyA" w:customStyle="1">
    <w:name w:val="Body A"/>
    <w:rsid w:val="0038365F"/>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styleId="Heading3Char" w:customStyle="1">
    <w:name w:val="Heading 3 Char"/>
    <w:basedOn w:val="DefaultParagraphFont"/>
    <w:link w:val="Heading3"/>
    <w:uiPriority w:val="9"/>
    <w:rsid w:val="003947E8"/>
    <w:rPr>
      <w:rFonts w:eastAsia="Times New Roman"/>
      <w:b/>
      <w:bCs/>
      <w:sz w:val="27"/>
      <w:szCs w:val="27"/>
      <w:bdr w:val="none" w:color="auto" w:sz="0" w:space="0"/>
    </w:rPr>
  </w:style>
  <w:style w:type="paragraph" w:styleId="ListParagraph">
    <w:name w:val="List Paragraph"/>
    <w:basedOn w:val="Normal"/>
    <w:uiPriority w:val="34"/>
    <w:qFormat/>
    <w:rsid w:val="000C416B"/>
    <w:pPr>
      <w:ind w:left="720"/>
      <w:contextualSpacing/>
    </w:pPr>
  </w:style>
  <w:style w:type="character" w:styleId="FollowedHyperlink">
    <w:name w:val="FollowedHyperlink"/>
    <w:basedOn w:val="DefaultParagraphFont"/>
    <w:uiPriority w:val="99"/>
    <w:semiHidden/>
    <w:unhideWhenUsed/>
    <w:rsid w:val="00C76570"/>
    <w:rPr>
      <w:color w:val="FF00FF" w:themeColor="followedHyperlink"/>
      <w:u w:val="single"/>
    </w:rPr>
  </w:style>
  <w:style w:type="character" w:styleId="PageNumber">
    <w:name w:val="page number"/>
    <w:basedOn w:val="DefaultParagraphFont"/>
    <w:uiPriority w:val="99"/>
    <w:semiHidden/>
    <w:unhideWhenUsed/>
    <w:rsid w:val="000028D4"/>
  </w:style>
  <w:style w:type="paragraph" w:styleId="paragraph" w:customStyle="1">
    <w:name w:val="paragraph"/>
    <w:basedOn w:val="Normal"/>
    <w:rsid w:val="00436D3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GB" w:eastAsia="en-GB"/>
    </w:rPr>
  </w:style>
  <w:style w:type="character" w:styleId="normaltextrun" w:customStyle="1">
    <w:name w:val="normaltextrun"/>
    <w:basedOn w:val="DefaultParagraphFont"/>
    <w:rsid w:val="00436D3C"/>
  </w:style>
  <w:style w:type="character" w:styleId="eop" w:customStyle="1">
    <w:name w:val="eop"/>
    <w:basedOn w:val="DefaultParagraphFont"/>
    <w:rsid w:val="00436D3C"/>
  </w:style>
  <w:style w:type="character" w:styleId="CommentReference">
    <w:name w:val="annotation reference"/>
    <w:basedOn w:val="DefaultParagraphFont"/>
    <w:uiPriority w:val="99"/>
    <w:semiHidden/>
    <w:unhideWhenUsed/>
    <w:rsid w:val="0096176D"/>
    <w:rPr>
      <w:sz w:val="16"/>
      <w:szCs w:val="16"/>
    </w:rPr>
  </w:style>
  <w:style w:type="paragraph" w:styleId="CommentText">
    <w:name w:val="annotation text"/>
    <w:basedOn w:val="Normal"/>
    <w:link w:val="CommentTextChar"/>
    <w:uiPriority w:val="99"/>
    <w:unhideWhenUsed/>
    <w:rsid w:val="0096176D"/>
    <w:rPr>
      <w:sz w:val="20"/>
      <w:szCs w:val="20"/>
    </w:rPr>
  </w:style>
  <w:style w:type="character" w:styleId="CommentTextChar" w:customStyle="1">
    <w:name w:val="Comment Text Char"/>
    <w:basedOn w:val="DefaultParagraphFont"/>
    <w:link w:val="CommentText"/>
    <w:uiPriority w:val="99"/>
    <w:rsid w:val="0096176D"/>
    <w:rPr>
      <w:lang w:val="en-US" w:eastAsia="en-US"/>
    </w:rPr>
  </w:style>
  <w:style w:type="paragraph" w:styleId="CommentSubject">
    <w:name w:val="annotation subject"/>
    <w:basedOn w:val="CommentText"/>
    <w:next w:val="CommentText"/>
    <w:link w:val="CommentSubjectChar"/>
    <w:uiPriority w:val="99"/>
    <w:semiHidden/>
    <w:unhideWhenUsed/>
    <w:rsid w:val="0096176D"/>
    <w:rPr>
      <w:b/>
      <w:bCs/>
    </w:rPr>
  </w:style>
  <w:style w:type="character" w:styleId="CommentSubjectChar" w:customStyle="1">
    <w:name w:val="Comment Subject Char"/>
    <w:basedOn w:val="CommentTextChar"/>
    <w:link w:val="CommentSubject"/>
    <w:uiPriority w:val="99"/>
    <w:semiHidden/>
    <w:rsid w:val="0096176D"/>
    <w:rPr>
      <w:b/>
      <w:bCs/>
      <w:lang w:val="en-US" w:eastAsia="en-US"/>
    </w:rPr>
  </w:style>
  <w:style w:type="character" w:styleId="has-inline-color" w:customStyle="1">
    <w:name w:val="has-inline-color"/>
    <w:basedOn w:val="DefaultParagraphFont"/>
    <w:rsid w:val="00373C2C"/>
  </w:style>
  <w:style w:type="paragraph" w:styleId="Revision">
    <w:name w:val="Revision"/>
    <w:hidden/>
    <w:uiPriority w:val="99"/>
    <w:semiHidden/>
    <w:rsid w:val="00B57835"/>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338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85">
          <w:marLeft w:val="0"/>
          <w:marRight w:val="0"/>
          <w:marTop w:val="0"/>
          <w:marBottom w:val="0"/>
          <w:divBdr>
            <w:top w:val="none" w:sz="0" w:space="0" w:color="auto"/>
            <w:left w:val="none" w:sz="0" w:space="0" w:color="auto"/>
            <w:bottom w:val="none" w:sz="0" w:space="0" w:color="auto"/>
            <w:right w:val="none" w:sz="0" w:space="0" w:color="auto"/>
          </w:divBdr>
          <w:divsChild>
            <w:div w:id="1221868131">
              <w:marLeft w:val="0"/>
              <w:marRight w:val="0"/>
              <w:marTop w:val="0"/>
              <w:marBottom w:val="0"/>
              <w:divBdr>
                <w:top w:val="none" w:sz="0" w:space="0" w:color="auto"/>
                <w:left w:val="none" w:sz="0" w:space="0" w:color="auto"/>
                <w:bottom w:val="none" w:sz="0" w:space="0" w:color="auto"/>
                <w:right w:val="none" w:sz="0" w:space="0" w:color="auto"/>
              </w:divBdr>
            </w:div>
            <w:div w:id="2131123856">
              <w:marLeft w:val="0"/>
              <w:marRight w:val="0"/>
              <w:marTop w:val="0"/>
              <w:marBottom w:val="0"/>
              <w:divBdr>
                <w:top w:val="none" w:sz="0" w:space="0" w:color="auto"/>
                <w:left w:val="none" w:sz="0" w:space="0" w:color="auto"/>
                <w:bottom w:val="none" w:sz="0" w:space="0" w:color="auto"/>
                <w:right w:val="none" w:sz="0" w:space="0" w:color="auto"/>
              </w:divBdr>
            </w:div>
            <w:div w:id="407120888">
              <w:marLeft w:val="0"/>
              <w:marRight w:val="0"/>
              <w:marTop w:val="0"/>
              <w:marBottom w:val="0"/>
              <w:divBdr>
                <w:top w:val="none" w:sz="0" w:space="0" w:color="auto"/>
                <w:left w:val="none" w:sz="0" w:space="0" w:color="auto"/>
                <w:bottom w:val="none" w:sz="0" w:space="0" w:color="auto"/>
                <w:right w:val="none" w:sz="0" w:space="0" w:color="auto"/>
              </w:divBdr>
            </w:div>
          </w:divsChild>
        </w:div>
        <w:div w:id="1493595523">
          <w:marLeft w:val="0"/>
          <w:marRight w:val="0"/>
          <w:marTop w:val="0"/>
          <w:marBottom w:val="0"/>
          <w:divBdr>
            <w:top w:val="none" w:sz="0" w:space="0" w:color="auto"/>
            <w:left w:val="none" w:sz="0" w:space="0" w:color="auto"/>
            <w:bottom w:val="none" w:sz="0" w:space="0" w:color="auto"/>
            <w:right w:val="none" w:sz="0" w:space="0" w:color="auto"/>
          </w:divBdr>
          <w:divsChild>
            <w:div w:id="1880630589">
              <w:marLeft w:val="0"/>
              <w:marRight w:val="0"/>
              <w:marTop w:val="0"/>
              <w:marBottom w:val="0"/>
              <w:divBdr>
                <w:top w:val="none" w:sz="0" w:space="0" w:color="auto"/>
                <w:left w:val="none" w:sz="0" w:space="0" w:color="auto"/>
                <w:bottom w:val="none" w:sz="0" w:space="0" w:color="auto"/>
                <w:right w:val="none" w:sz="0" w:space="0" w:color="auto"/>
              </w:divBdr>
            </w:div>
            <w:div w:id="1221789741">
              <w:marLeft w:val="0"/>
              <w:marRight w:val="0"/>
              <w:marTop w:val="0"/>
              <w:marBottom w:val="0"/>
              <w:divBdr>
                <w:top w:val="none" w:sz="0" w:space="0" w:color="auto"/>
                <w:left w:val="none" w:sz="0" w:space="0" w:color="auto"/>
                <w:bottom w:val="none" w:sz="0" w:space="0" w:color="auto"/>
                <w:right w:val="none" w:sz="0" w:space="0" w:color="auto"/>
              </w:divBdr>
            </w:div>
            <w:div w:id="179858726">
              <w:marLeft w:val="0"/>
              <w:marRight w:val="0"/>
              <w:marTop w:val="0"/>
              <w:marBottom w:val="0"/>
              <w:divBdr>
                <w:top w:val="none" w:sz="0" w:space="0" w:color="auto"/>
                <w:left w:val="none" w:sz="0" w:space="0" w:color="auto"/>
                <w:bottom w:val="none" w:sz="0" w:space="0" w:color="auto"/>
                <w:right w:val="none" w:sz="0" w:space="0" w:color="auto"/>
              </w:divBdr>
            </w:div>
            <w:div w:id="1562401588">
              <w:marLeft w:val="0"/>
              <w:marRight w:val="0"/>
              <w:marTop w:val="0"/>
              <w:marBottom w:val="0"/>
              <w:divBdr>
                <w:top w:val="none" w:sz="0" w:space="0" w:color="auto"/>
                <w:left w:val="none" w:sz="0" w:space="0" w:color="auto"/>
                <w:bottom w:val="none" w:sz="0" w:space="0" w:color="auto"/>
                <w:right w:val="none" w:sz="0" w:space="0" w:color="auto"/>
              </w:divBdr>
            </w:div>
            <w:div w:id="928586509">
              <w:marLeft w:val="0"/>
              <w:marRight w:val="0"/>
              <w:marTop w:val="0"/>
              <w:marBottom w:val="0"/>
              <w:divBdr>
                <w:top w:val="none" w:sz="0" w:space="0" w:color="auto"/>
                <w:left w:val="none" w:sz="0" w:space="0" w:color="auto"/>
                <w:bottom w:val="none" w:sz="0" w:space="0" w:color="auto"/>
                <w:right w:val="none" w:sz="0" w:space="0" w:color="auto"/>
              </w:divBdr>
            </w:div>
          </w:divsChild>
        </w:div>
        <w:div w:id="670110178">
          <w:marLeft w:val="0"/>
          <w:marRight w:val="0"/>
          <w:marTop w:val="0"/>
          <w:marBottom w:val="0"/>
          <w:divBdr>
            <w:top w:val="none" w:sz="0" w:space="0" w:color="auto"/>
            <w:left w:val="none" w:sz="0" w:space="0" w:color="auto"/>
            <w:bottom w:val="none" w:sz="0" w:space="0" w:color="auto"/>
            <w:right w:val="none" w:sz="0" w:space="0" w:color="auto"/>
          </w:divBdr>
          <w:divsChild>
            <w:div w:id="986932813">
              <w:marLeft w:val="0"/>
              <w:marRight w:val="0"/>
              <w:marTop w:val="0"/>
              <w:marBottom w:val="0"/>
              <w:divBdr>
                <w:top w:val="none" w:sz="0" w:space="0" w:color="auto"/>
                <w:left w:val="none" w:sz="0" w:space="0" w:color="auto"/>
                <w:bottom w:val="none" w:sz="0" w:space="0" w:color="auto"/>
                <w:right w:val="none" w:sz="0" w:space="0" w:color="auto"/>
              </w:divBdr>
            </w:div>
            <w:div w:id="251815398">
              <w:marLeft w:val="0"/>
              <w:marRight w:val="0"/>
              <w:marTop w:val="0"/>
              <w:marBottom w:val="0"/>
              <w:divBdr>
                <w:top w:val="none" w:sz="0" w:space="0" w:color="auto"/>
                <w:left w:val="none" w:sz="0" w:space="0" w:color="auto"/>
                <w:bottom w:val="none" w:sz="0" w:space="0" w:color="auto"/>
                <w:right w:val="none" w:sz="0" w:space="0" w:color="auto"/>
              </w:divBdr>
            </w:div>
            <w:div w:id="1089620008">
              <w:marLeft w:val="0"/>
              <w:marRight w:val="0"/>
              <w:marTop w:val="0"/>
              <w:marBottom w:val="0"/>
              <w:divBdr>
                <w:top w:val="none" w:sz="0" w:space="0" w:color="auto"/>
                <w:left w:val="none" w:sz="0" w:space="0" w:color="auto"/>
                <w:bottom w:val="none" w:sz="0" w:space="0" w:color="auto"/>
                <w:right w:val="none" w:sz="0" w:space="0" w:color="auto"/>
              </w:divBdr>
            </w:div>
            <w:div w:id="1124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uk-gdpr.org/chapter-2-article-6/" TargetMode="External" Id="rId13" /><Relationship Type="http://schemas.openxmlformats.org/officeDocument/2006/relationships/hyperlink" Target="https://www.nhs.uk" TargetMode="External" Id="rId18" /><Relationship Type="http://schemas.openxmlformats.org/officeDocument/2006/relationships/hyperlink" Target="https://ico.org.uk/for-organisations/guide-to-data-protection/guide-to-the-general-data-protection-regulation-gdpr/accountability-and-governance/data-protection-impact-assessments/" TargetMode="External" Id="rId26" /><Relationship Type="http://schemas.openxmlformats.org/officeDocument/2006/relationships/hyperlink" Target="https://www.gov.uk/government/publications/identity-proofing-and-verification-of-an-individual" TargetMode="External" Id="rId39" /><Relationship Type="http://schemas.openxmlformats.org/officeDocument/2006/relationships/hyperlink" Target="https://ico.org.uk/for-organisations/resources-and-support/pdb/%20" TargetMode="External" Id="rId21" /><Relationship Type="http://schemas.openxmlformats.org/officeDocument/2006/relationships/hyperlink" Target="https://www.rcgp.org.uk/clinical-and-research/safeguarding.aspx" TargetMode="External" Id="rId34" /><Relationship Type="http://schemas.openxmlformats.org/officeDocument/2006/relationships/hyperlink" Target="https://www.goodthingsfoundation.org/online-centres-network" TargetMode="Externa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healthliteracyplace.org.uk/toolkit/techniques/teach-back" TargetMode="External" Id="rId16" /><Relationship Type="http://schemas.openxmlformats.org/officeDocument/2006/relationships/hyperlink" Target="https://www.cqc.org.uk/sites/default/files/20160411%20Final%20Policy%20Statement%20on%20Information%20Security%20July.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C:\Users\gmarsden\Downloads\,%20https:\digital.nhs.uk\data-and-information\looking-after-information\data-security-and-information-governance\information-governance-alliance-iga" TargetMode="External" Id="rId11" /><Relationship Type="http://schemas.openxmlformats.org/officeDocument/2006/relationships/hyperlink" Target="https://digital.nhs.uk/services/nhs-app/nhs-app-guidance-for-gp-practices/guidance-on-nhs-app-features/accelerating-patient-access-to-their-record" TargetMode="External" Id="rId24" /><Relationship Type="http://schemas.openxmlformats.org/officeDocument/2006/relationships/hyperlink" Target="https://digital.nhs.uk/data-and-information/looking-after-information/data-security-and-information-governance/data-security-and-protection-toolkit" TargetMode="External" Id="rId32" /><Relationship Type="http://schemas.openxmlformats.org/officeDocument/2006/relationships/hyperlink" Target="https://communications.safelivesresearch.org.uk/Pathfinder%20Toolkit_Final.pdf" TargetMode="External" Id="rId37" /><Relationship Type="http://schemas.openxmlformats.org/officeDocument/2006/relationships/hyperlink" Target="https://digital.nhs.uk/data-and-information/information-standards/information-standards-and-data-collections-including-extractions/publications-and-notifications/standards-and-collections/dcb3051-identity-verification-and-authentication-standard-for-digital-health-and-care-services"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www.healthliteracyplace.org.uk/toolkit/techniques/chunk-and-check/" TargetMode="External" Id="rId15" /><Relationship Type="http://schemas.openxmlformats.org/officeDocument/2006/relationships/hyperlink" Target="file:///C:\Users\gmarsden\Downloads\-%20https:\www.bma.org.uk\advice-and-support\ethics\confidentiality-and-health-records\gdpr-privacy-notices-for-gp-practices" TargetMode="External" Id="rId23" /><Relationship Type="http://schemas.openxmlformats.org/officeDocument/2006/relationships/hyperlink" Target="https://www.gmc-uk.org/-/media/documents/review-of-public-and-professional-attitudes-towards-confidentiality-of-healthcare-data_pdf-62449249.pdf" TargetMode="External" Id="rId28" /><Relationship Type="http://schemas.openxmlformats.org/officeDocument/2006/relationships/hyperlink" Target="https://safelives.org.uk/policy-evidence/about-domestic-abuse" TargetMode="External" Id="rId36" /><Relationship Type="http://schemas.openxmlformats.org/officeDocument/2006/relationships/image" Target="media/image1.jpeg" Id="rId10" /><Relationship Type="http://schemas.openxmlformats.org/officeDocument/2006/relationships/hyperlink" Target="https://patient.info" TargetMode="External" Id="rId19" /><Relationship Type="http://schemas.openxmlformats.org/officeDocument/2006/relationships/hyperlink" Target="https://www.bma.org.uk/advice/employment/ethics/confidentiality-and-health-records/general-data-protection-regulation-gdpr" TargetMode="External" Id="rId31" /><Relationship Type="http://schemas.openxmlformats.org/officeDocument/2006/relationships/footer" Target="footer2.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nhs.uk/nhs-services/online-services/nhs-login/websites-and-apps-you-can-access-with-nhs-login" TargetMode="External" Id="rId14" /><Relationship Type="http://schemas.openxmlformats.org/officeDocument/2006/relationships/hyperlink" Target="https://ico.org.uk/for-organisations/accountability-framework/records-of-processing-and-lawful-basis/" TargetMode="External" Id="rId22" /><Relationship Type="http://schemas.openxmlformats.org/officeDocument/2006/relationships/hyperlink" Target="https://transform.england.nhs.uk/documents/129/Data_Protection_Assessment_template.odt" TargetMode="External" Id="rId27" /><Relationship Type="http://schemas.openxmlformats.org/officeDocument/2006/relationships/hyperlink" Target="https://assets.publishing.service.gov.uk/government/uploads/system/uploads/attachment_data/file/192572/2900774_InfoGovernance_accv2.pdf" TargetMode="External" Id="rId30" /><Relationship Type="http://schemas.openxmlformats.org/officeDocument/2006/relationships/hyperlink" Target="https://www.nice.org.uk/guidance/ph50" TargetMode="External" Id="rId35" /><Relationship Type="http://schemas.openxmlformats.org/officeDocument/2006/relationships/footer" Target="footer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ransform.england.nhs.uk/information-governance/" TargetMode="External" Id="rId12" /><Relationship Type="http://schemas.openxmlformats.org/officeDocument/2006/relationships/hyperlink" Target="https://www.rcgp.org.uk/clinical-and-research/resources/toolkits/person-centred-care-toolkit.aspx." TargetMode="External" Id="rId17" /><Relationship Type="http://schemas.openxmlformats.org/officeDocument/2006/relationships/hyperlink" Target="https://ico.org.uk/for-organisations/guide-to-data-protection/guide-to-the-general-data-protection-regulation-gdpr/data-protection-impact-assessments-dpias/when-do-we-need-to-do-a-dpia/" TargetMode="External" Id="rId25" /><Relationship Type="http://schemas.openxmlformats.org/officeDocument/2006/relationships/hyperlink" Target="https://ico.org.uk/for-organisations/guide-to-the-general-data-protection-regulation-gdpr/individual-rights/right-to-rectification/" TargetMode="External" Id="rId33" /><Relationship Type="http://schemas.openxmlformats.org/officeDocument/2006/relationships/hyperlink" Target="http://www.irisdomesticviolence.org.uk/iris/" TargetMode="External" Id="rId38" /><Relationship Type="http://schemas.microsoft.com/office/2011/relationships/people" Target="people.xml" Id="rId46" /><Relationship Type="http://schemas.openxmlformats.org/officeDocument/2006/relationships/hyperlink" Target="https://labtestsonline.org.uk" TargetMode="External" Id="rId20" /><Relationship Type="http://schemas.openxmlformats.org/officeDocument/2006/relationships/hyperlink" Target="https://www.england.nhs.uk/gp-online-services/support/supporting-material/patient-information-guides/" TargetMode="External" Id="rId41" /><Relationship Type="http://schemas.openxmlformats.org/officeDocument/2006/relationships/glossaryDocument" Target="glossary/document.xml" Id="Rf6c5081875334c2e" /><Relationship Type="http://schemas.microsoft.com/office/2020/10/relationships/intelligence" Target="intelligence2.xml" Id="Ra6d77b7505064c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da026c-488f-4d1a-af4e-c6e2a35b6b25}"/>
      </w:docPartPr>
      <w:docPartBody>
        <w:p w14:paraId="72B2E800">
          <w:r>
            <w:rPr>
              <w:rStyle w:val="PlaceholderText"/>
            </w:rPr>
            <w:t/>
          </w:r>
        </w:p>
      </w:docPartBody>
    </w:docPart>
  </w:docParts>
</w:glossaryDocument>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BC7BB6DDA4F4BA5217E736584A4FC" ma:contentTypeVersion="11" ma:contentTypeDescription="Create a new document." ma:contentTypeScope="" ma:versionID="9155adb8034eb9e1aeb6482a4878f21f">
  <xsd:schema xmlns:xsd="http://www.w3.org/2001/XMLSchema" xmlns:xs="http://www.w3.org/2001/XMLSchema" xmlns:p="http://schemas.microsoft.com/office/2006/metadata/properties" xmlns:ns3="9d10d3d1-39c2-4087-a49f-9926cdcc7754" xmlns:ns4="f1f44c89-11e7-4a52-8fa2-6cff4c1250b0" targetNamespace="http://schemas.microsoft.com/office/2006/metadata/properties" ma:root="true" ma:fieldsID="9f9ea8eddf3ab3103111bd5c2a7e7eb0" ns3:_="" ns4:_="">
    <xsd:import namespace="9d10d3d1-39c2-4087-a49f-9926cdcc7754"/>
    <xsd:import namespace="f1f44c89-11e7-4a52-8fa2-6cff4c1250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d3d1-39c2-4087-a49f-9926cdcc7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f44c89-11e7-4a52-8fa2-6cff4c1250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f44c89-11e7-4a52-8fa2-6cff4c1250b0">
      <UserInfo>
        <DisplayName/>
        <AccountId xsi:nil="true"/>
        <AccountType/>
      </UserInfo>
    </SharedWithUsers>
  </documentManagement>
</p:properties>
</file>

<file path=customXml/itemProps1.xml><?xml version="1.0" encoding="utf-8"?>
<ds:datastoreItem xmlns:ds="http://schemas.openxmlformats.org/officeDocument/2006/customXml" ds:itemID="{BC560988-2539-49AC-8969-40892E94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d3d1-39c2-4087-a49f-9926cdcc7754"/>
    <ds:schemaRef ds:uri="f1f44c89-11e7-4a52-8fa2-6cff4c125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B9E3-6506-40A8-AB95-68613BDBFCD3}">
  <ds:schemaRefs>
    <ds:schemaRef ds:uri="http://schemas.microsoft.com/sharepoint/v3/contenttype/forms"/>
  </ds:schemaRefs>
</ds:datastoreItem>
</file>

<file path=customXml/itemProps3.xml><?xml version="1.0" encoding="utf-8"?>
<ds:datastoreItem xmlns:ds="http://schemas.openxmlformats.org/officeDocument/2006/customXml" ds:itemID="{0356BB5B-62AC-48D3-83F4-1A2E0235492E}">
  <ds:schemaRefs>
    <ds:schemaRef ds:uri="http://schemas.microsoft.com/office/2006/metadata/properties"/>
    <ds:schemaRef ds:uri="http://schemas.microsoft.com/office/infopath/2007/PartnerControls"/>
    <ds:schemaRef ds:uri="f1f44c89-11e7-4a52-8fa2-6cff4c1250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Daniel Chukwu</dc:creator>
  <lastModifiedBy>Gemma Marsden</lastModifiedBy>
  <revision>5</revision>
  <lastPrinted>2019-07-29T15:40:00.0000000Z</lastPrinted>
  <dcterms:created xsi:type="dcterms:W3CDTF">2022-10-24T13:31:00.0000000Z</dcterms:created>
  <dcterms:modified xsi:type="dcterms:W3CDTF">2022-10-27T13:43:06.8488166Z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0x0101000EDBC7BB6DDA4F4BA5217E736584A4FC</vt:lpwstr>
  </property>
  <property fmtid="{D5CDD505-2E9C-101B-9397-08002B2CF9AE}" pid="3" name="MediaServiceImageTags">
    <vt:lpwstr/>
  </property>
  <property fmtid="{D5CDD505-2E9C-101B-9397-08002B2CF9AE}" pid="4" name="Order">
    <vt:r8>21600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