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ED17" w14:textId="7E27E1E6" w:rsidR="008D3D44" w:rsidRDefault="005155A0" w:rsidP="00AC48E2">
      <w:pPr>
        <w:pStyle w:val="BodyA"/>
        <w:widowControl w:val="0"/>
        <w:suppressAutoHyphens/>
        <w:spacing w:before="120" w:line="288" w:lineRule="auto"/>
        <w:rPr>
          <w:rFonts w:ascii="Helvetica Neue" w:eastAsia="Helvetica Neue" w:hAnsi="Helvetica Neue" w:cs="Helvetica Neue"/>
          <w:b/>
          <w:bCs/>
          <w:color w:val="2F759E"/>
          <w:u w:color="2F759E"/>
          <w:lang w:val="en-US"/>
        </w:rPr>
      </w:pPr>
      <w:r>
        <w:rPr>
          <w:noProof/>
        </w:rPr>
        <w:drawing>
          <wp:inline distT="0" distB="0" distL="0" distR="0" wp14:anchorId="5B1231FC" wp14:editId="64146D15">
            <wp:extent cx="2249805" cy="711835"/>
            <wp:effectExtent l="0" t="0" r="0" b="0"/>
            <wp:docPr id="1073741825" name="officeArt object" descr="Picture 16"/>
            <wp:cNvGraphicFramePr/>
            <a:graphic xmlns:a="http://schemas.openxmlformats.org/drawingml/2006/main">
              <a:graphicData uri="http://schemas.openxmlformats.org/drawingml/2006/picture">
                <pic:pic xmlns:pic="http://schemas.openxmlformats.org/drawingml/2006/picture">
                  <pic:nvPicPr>
                    <pic:cNvPr id="1073741825" name="Picture 16" descr="Picture 16"/>
                    <pic:cNvPicPr>
                      <a:picLocks noChangeAspect="1"/>
                    </pic:cNvPicPr>
                  </pic:nvPicPr>
                  <pic:blipFill>
                    <a:blip r:embed="rId10"/>
                    <a:stretch>
                      <a:fillRect/>
                    </a:stretch>
                  </pic:blipFill>
                  <pic:spPr>
                    <a:xfrm>
                      <a:off x="0" y="0"/>
                      <a:ext cx="2249805" cy="711835"/>
                    </a:xfrm>
                    <a:prstGeom prst="rect">
                      <a:avLst/>
                    </a:prstGeom>
                    <a:ln w="12700" cap="flat">
                      <a:noFill/>
                      <a:miter lim="400000"/>
                    </a:ln>
                    <a:effectLst/>
                  </pic:spPr>
                </pic:pic>
              </a:graphicData>
            </a:graphic>
          </wp:inline>
        </w:drawing>
      </w:r>
    </w:p>
    <w:p w14:paraId="180C8534" w14:textId="77777777" w:rsidR="005155A0" w:rsidRPr="00753442" w:rsidRDefault="005155A0" w:rsidP="00AC48E2">
      <w:pPr>
        <w:pStyle w:val="BodyA"/>
        <w:widowControl w:val="0"/>
        <w:suppressAutoHyphens/>
        <w:spacing w:before="120" w:line="288" w:lineRule="auto"/>
        <w:rPr>
          <w:rFonts w:ascii="Arial" w:eastAsia="Helvetica Neue" w:hAnsi="Arial" w:cs="Arial"/>
          <w:b/>
          <w:bCs/>
          <w:color w:val="2F759E"/>
          <w:sz w:val="22"/>
          <w:szCs w:val="22"/>
          <w:u w:color="2F759E"/>
          <w:lang w:val="en-US"/>
        </w:rPr>
      </w:pPr>
    </w:p>
    <w:p w14:paraId="0F49905B" w14:textId="1CCE655C" w:rsidR="008D3D44" w:rsidRPr="00753442" w:rsidRDefault="1CB573D1" w:rsidP="5F3CA9E2">
      <w:pPr>
        <w:pStyle w:val="BodyA"/>
        <w:widowControl w:val="0"/>
        <w:suppressAutoHyphens/>
        <w:spacing w:before="120" w:line="288" w:lineRule="auto"/>
        <w:rPr>
          <w:rFonts w:ascii="Arial" w:eastAsia="Arial" w:hAnsi="Arial" w:cs="Arial"/>
          <w:color w:val="2F759E"/>
          <w:sz w:val="32"/>
          <w:szCs w:val="32"/>
          <w:lang w:val="en-US"/>
        </w:rPr>
      </w:pPr>
      <w:r w:rsidRPr="00753442">
        <w:rPr>
          <w:rFonts w:ascii="Arial" w:eastAsia="Arial" w:hAnsi="Arial" w:cs="Arial"/>
          <w:color w:val="2F759E"/>
          <w:sz w:val="32"/>
          <w:szCs w:val="32"/>
          <w:lang w:val="en-US"/>
        </w:rPr>
        <w:t>GP Online Services Guidance</w:t>
      </w:r>
    </w:p>
    <w:p w14:paraId="1433B66C" w14:textId="3ABDBB0F" w:rsidR="008D3D44" w:rsidRPr="004056AE" w:rsidRDefault="1CB573D1" w:rsidP="0D40289F">
      <w:pPr>
        <w:pStyle w:val="BodyA"/>
        <w:widowControl w:val="0"/>
        <w:suppressAutoHyphens/>
        <w:spacing w:before="120" w:line="288" w:lineRule="auto"/>
        <w:rPr>
          <w:rFonts w:ascii="Arial" w:eastAsia="Arial" w:hAnsi="Arial" w:cs="Arial"/>
          <w:i/>
          <w:iCs/>
          <w:color w:val="2F759E"/>
          <w:sz w:val="44"/>
          <w:szCs w:val="44"/>
        </w:rPr>
      </w:pPr>
      <w:r w:rsidRPr="004056AE">
        <w:rPr>
          <w:rFonts w:ascii="Arial" w:eastAsia="Arial" w:hAnsi="Arial" w:cs="Arial"/>
          <w:i/>
          <w:iCs/>
          <w:color w:val="2F759E"/>
          <w:sz w:val="44"/>
          <w:szCs w:val="44"/>
          <w:lang w:val="en-US"/>
        </w:rPr>
        <w:t xml:space="preserve">Safeguarding and </w:t>
      </w:r>
      <w:r w:rsidR="5FD37A03" w:rsidRPr="004056AE">
        <w:rPr>
          <w:rFonts w:ascii="Arial" w:eastAsia="Arial" w:hAnsi="Arial" w:cs="Arial"/>
          <w:i/>
          <w:iCs/>
          <w:color w:val="2F759E"/>
          <w:sz w:val="44"/>
          <w:szCs w:val="44"/>
          <w:lang w:val="en-US"/>
        </w:rPr>
        <w:t>a</w:t>
      </w:r>
      <w:r w:rsidRPr="004056AE">
        <w:rPr>
          <w:rFonts w:ascii="Arial" w:eastAsia="Arial" w:hAnsi="Arial" w:cs="Arial"/>
          <w:i/>
          <w:iCs/>
          <w:color w:val="2F759E"/>
          <w:sz w:val="44"/>
          <w:szCs w:val="44"/>
          <w:lang w:val="en-US"/>
        </w:rPr>
        <w:t xml:space="preserve">utomatic </w:t>
      </w:r>
      <w:r w:rsidR="5FD37A03" w:rsidRPr="004056AE">
        <w:rPr>
          <w:rFonts w:ascii="Arial" w:eastAsia="Arial" w:hAnsi="Arial" w:cs="Arial"/>
          <w:i/>
          <w:iCs/>
          <w:color w:val="2F759E"/>
          <w:sz w:val="44"/>
          <w:szCs w:val="44"/>
          <w:lang w:val="en-US"/>
        </w:rPr>
        <w:t>r</w:t>
      </w:r>
      <w:r w:rsidRPr="004056AE">
        <w:rPr>
          <w:rFonts w:ascii="Arial" w:eastAsia="Arial" w:hAnsi="Arial" w:cs="Arial"/>
          <w:i/>
          <w:iCs/>
          <w:color w:val="2F759E"/>
          <w:sz w:val="44"/>
          <w:szCs w:val="44"/>
          <w:lang w:val="en-US"/>
        </w:rPr>
        <w:t xml:space="preserve">ecord </w:t>
      </w:r>
      <w:r w:rsidR="5FD37A03" w:rsidRPr="004056AE">
        <w:rPr>
          <w:rFonts w:ascii="Arial" w:eastAsia="Arial" w:hAnsi="Arial" w:cs="Arial"/>
          <w:i/>
          <w:iCs/>
          <w:color w:val="2F759E"/>
          <w:sz w:val="44"/>
          <w:szCs w:val="44"/>
          <w:lang w:val="en-US"/>
        </w:rPr>
        <w:t>a</w:t>
      </w:r>
      <w:r w:rsidRPr="004056AE">
        <w:rPr>
          <w:rFonts w:ascii="Arial" w:eastAsia="Arial" w:hAnsi="Arial" w:cs="Arial"/>
          <w:i/>
          <w:iCs/>
          <w:color w:val="2F759E"/>
          <w:sz w:val="44"/>
          <w:szCs w:val="44"/>
          <w:lang w:val="en-US"/>
        </w:rPr>
        <w:t>ccess</w:t>
      </w:r>
    </w:p>
    <w:p w14:paraId="5684870C" w14:textId="71CA2CBD" w:rsidR="009F2CEC" w:rsidRDefault="009F2CEC" w:rsidP="00AC48E2">
      <w:pPr>
        <w:spacing w:before="120" w:after="0" w:line="288" w:lineRule="auto"/>
      </w:pPr>
    </w:p>
    <w:p w14:paraId="4650ED19" w14:textId="77777777" w:rsidR="00AC48E2" w:rsidRPr="00753442" w:rsidRDefault="00AC48E2" w:rsidP="00AC48E2">
      <w:pPr>
        <w:pStyle w:val="BodyA"/>
        <w:widowControl w:val="0"/>
        <w:suppressAutoHyphens/>
        <w:spacing w:before="120" w:line="288" w:lineRule="auto"/>
        <w:rPr>
          <w:rFonts w:ascii="Lato" w:hAnsi="Lato" w:cs="Arial"/>
          <w:color w:val="000000" w:themeColor="text1"/>
          <w:sz w:val="32"/>
          <w:szCs w:val="32"/>
          <w:u w:color="2F759E"/>
          <w:lang w:val="en-US"/>
        </w:rPr>
      </w:pPr>
      <w:r w:rsidRPr="00753442">
        <w:rPr>
          <w:rFonts w:ascii="Lato" w:hAnsi="Lato" w:cs="Arial"/>
          <w:color w:val="000000" w:themeColor="text1"/>
          <w:sz w:val="32"/>
          <w:szCs w:val="32"/>
          <w:u w:color="2F759E"/>
          <w:lang w:val="en-US"/>
        </w:rPr>
        <w:t>Contents</w:t>
      </w:r>
    </w:p>
    <w:p w14:paraId="29A4AABB" w14:textId="77777777" w:rsidR="00AC48E2" w:rsidRPr="003C479F" w:rsidRDefault="00AC48E2" w:rsidP="00AC48E2">
      <w:pPr>
        <w:pStyle w:val="BodyA"/>
        <w:widowControl w:val="0"/>
        <w:numPr>
          <w:ilvl w:val="0"/>
          <w:numId w:val="19"/>
        </w:numPr>
        <w:suppressAutoHyphens/>
        <w:spacing w:before="120" w:line="288" w:lineRule="auto"/>
        <w:rPr>
          <w:rFonts w:ascii="Arial" w:eastAsia="Helvetica Neue" w:hAnsi="Arial" w:cs="Arial"/>
          <w:sz w:val="22"/>
          <w:szCs w:val="22"/>
          <w:lang w:val="en-US"/>
        </w:rPr>
      </w:pPr>
      <w:r w:rsidRPr="00240508">
        <w:rPr>
          <w:rFonts w:ascii="Arial" w:eastAsia="Helvetica Neue" w:hAnsi="Arial" w:cs="Arial"/>
          <w:sz w:val="22"/>
          <w:szCs w:val="22"/>
          <w:lang w:val="en-US"/>
        </w:rPr>
        <w:t>Introduction</w:t>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240508">
        <w:rPr>
          <w:rFonts w:ascii="Arial" w:eastAsia="Helvetica Neue" w:hAnsi="Arial" w:cs="Arial"/>
          <w:sz w:val="22"/>
          <w:szCs w:val="22"/>
          <w:lang w:val="en-US"/>
        </w:rPr>
        <w:tab/>
      </w:r>
      <w:r w:rsidRPr="003C479F">
        <w:rPr>
          <w:rFonts w:ascii="Arial" w:eastAsia="Helvetica Neue" w:hAnsi="Arial" w:cs="Arial"/>
          <w:sz w:val="22"/>
          <w:szCs w:val="22"/>
          <w:lang w:val="en-US"/>
        </w:rPr>
        <w:tab/>
        <w:t>1</w:t>
      </w:r>
    </w:p>
    <w:p w14:paraId="3DB0AE05" w14:textId="7A26C82A" w:rsidR="00C77CE3" w:rsidRPr="003C479F" w:rsidRDefault="00C77CE3" w:rsidP="00C77CE3">
      <w:pPr>
        <w:pStyle w:val="BodyA"/>
        <w:widowControl w:val="0"/>
        <w:numPr>
          <w:ilvl w:val="0"/>
          <w:numId w:val="19"/>
        </w:numPr>
        <w:suppressAutoHyphens/>
        <w:spacing w:before="120" w:line="288" w:lineRule="auto"/>
        <w:rPr>
          <w:rFonts w:ascii="Arial" w:eastAsia="Helvetica Neue" w:hAnsi="Arial" w:cs="Arial"/>
          <w:sz w:val="22"/>
          <w:szCs w:val="22"/>
          <w:lang w:val="en-US"/>
        </w:rPr>
      </w:pPr>
      <w:r w:rsidRPr="003C479F">
        <w:rPr>
          <w:rFonts w:ascii="Arial" w:eastAsia="Helvetica Neue" w:hAnsi="Arial" w:cs="Arial"/>
          <w:sz w:val="22"/>
          <w:szCs w:val="22"/>
          <w:lang w:val="en-US"/>
        </w:rPr>
        <w:t>Safeguarding information</w:t>
      </w:r>
      <w:r w:rsidR="00AC48E2" w:rsidRPr="003C479F">
        <w:rPr>
          <w:rFonts w:ascii="Arial" w:eastAsia="Helvetica Neue" w:hAnsi="Arial" w:cs="Arial"/>
          <w:sz w:val="22"/>
          <w:szCs w:val="22"/>
          <w:lang w:val="en-US"/>
        </w:rPr>
        <w:tab/>
      </w:r>
      <w:r w:rsidR="00AC48E2" w:rsidRPr="003C479F">
        <w:rPr>
          <w:rFonts w:ascii="Arial" w:eastAsia="Helvetica Neue" w:hAnsi="Arial" w:cs="Arial"/>
          <w:sz w:val="22"/>
          <w:szCs w:val="22"/>
          <w:lang w:val="en-US"/>
        </w:rPr>
        <w:tab/>
      </w:r>
      <w:r w:rsidR="00AC48E2" w:rsidRPr="003C479F">
        <w:rPr>
          <w:rFonts w:ascii="Arial" w:eastAsia="Helvetica Neue" w:hAnsi="Arial" w:cs="Arial"/>
          <w:sz w:val="22"/>
          <w:szCs w:val="22"/>
          <w:lang w:val="en-US"/>
        </w:rPr>
        <w:tab/>
      </w:r>
      <w:r w:rsidR="00AC48E2" w:rsidRPr="003C479F">
        <w:rPr>
          <w:rFonts w:ascii="Arial" w:eastAsia="Helvetica Neue" w:hAnsi="Arial" w:cs="Arial"/>
          <w:sz w:val="22"/>
          <w:szCs w:val="22"/>
          <w:lang w:val="en-US"/>
        </w:rPr>
        <w:tab/>
      </w:r>
      <w:r w:rsidRPr="003C479F">
        <w:rPr>
          <w:rFonts w:ascii="Arial" w:eastAsia="Helvetica Neue" w:hAnsi="Arial" w:cs="Arial"/>
          <w:sz w:val="22"/>
          <w:szCs w:val="22"/>
          <w:lang w:val="en-US"/>
        </w:rPr>
        <w:tab/>
      </w:r>
      <w:r w:rsidRPr="003C479F">
        <w:rPr>
          <w:rFonts w:ascii="Arial" w:eastAsia="Helvetica Neue" w:hAnsi="Arial" w:cs="Arial"/>
          <w:sz w:val="22"/>
          <w:szCs w:val="22"/>
          <w:lang w:val="en-US"/>
        </w:rPr>
        <w:tab/>
      </w:r>
      <w:r w:rsidR="00AC48E2" w:rsidRPr="003C479F">
        <w:rPr>
          <w:rFonts w:ascii="Arial" w:eastAsia="Helvetica Neue" w:hAnsi="Arial" w:cs="Arial"/>
          <w:sz w:val="22"/>
          <w:szCs w:val="22"/>
          <w:lang w:val="en-US"/>
        </w:rPr>
        <w:tab/>
      </w:r>
      <w:r w:rsidR="009A7F4C">
        <w:rPr>
          <w:rFonts w:ascii="Arial" w:eastAsia="Helvetica Neue" w:hAnsi="Arial" w:cs="Arial"/>
          <w:sz w:val="22"/>
          <w:szCs w:val="22"/>
          <w:lang w:val="en-US"/>
        </w:rPr>
        <w:t>3</w:t>
      </w:r>
    </w:p>
    <w:p w14:paraId="2366A4EE" w14:textId="09A44188" w:rsidR="00BE3B12" w:rsidRPr="003C479F" w:rsidRDefault="00C77CE3" w:rsidP="5AFC0F04">
      <w:pPr>
        <w:pStyle w:val="BodyA"/>
        <w:widowControl w:val="0"/>
        <w:numPr>
          <w:ilvl w:val="0"/>
          <w:numId w:val="19"/>
        </w:numPr>
        <w:suppressAutoHyphens/>
        <w:spacing w:before="120" w:line="288" w:lineRule="auto"/>
        <w:rPr>
          <w:rFonts w:ascii="Arial" w:eastAsiaTheme="minorEastAsia" w:hAnsi="Arial" w:cs="Arial"/>
          <w:color w:val="000000" w:themeColor="text1"/>
          <w:sz w:val="22"/>
          <w:szCs w:val="22"/>
          <w:lang w:val="en-US"/>
        </w:rPr>
      </w:pPr>
      <w:r w:rsidRPr="0D40289F">
        <w:rPr>
          <w:rFonts w:ascii="Arial" w:hAnsi="Arial" w:cs="Arial"/>
          <w:color w:val="000000" w:themeColor="text1"/>
          <w:sz w:val="22"/>
          <w:szCs w:val="22"/>
        </w:rPr>
        <w:t>Coercion to gain access to the online record</w:t>
      </w:r>
      <w:r>
        <w:tab/>
      </w:r>
      <w:r>
        <w:tab/>
      </w:r>
      <w:r>
        <w:tab/>
      </w:r>
      <w:r>
        <w:tab/>
      </w:r>
      <w:r w:rsidR="004056AE">
        <w:t xml:space="preserve">            </w:t>
      </w:r>
      <w:r w:rsidR="00582831" w:rsidRPr="0D40289F">
        <w:rPr>
          <w:rFonts w:ascii="Arial" w:hAnsi="Arial" w:cs="Arial"/>
          <w:sz w:val="22"/>
          <w:szCs w:val="22"/>
        </w:rPr>
        <w:t>5</w:t>
      </w:r>
    </w:p>
    <w:p w14:paraId="3585B028" w14:textId="41CF44AA" w:rsidR="00BE3B12" w:rsidRPr="003C479F" w:rsidRDefault="00BE3B12" w:rsidP="60B1594E">
      <w:pPr>
        <w:pStyle w:val="BodyA"/>
        <w:widowControl w:val="0"/>
        <w:numPr>
          <w:ilvl w:val="0"/>
          <w:numId w:val="19"/>
        </w:numPr>
        <w:suppressAutoHyphens/>
        <w:spacing w:before="120" w:line="288" w:lineRule="auto"/>
        <w:rPr>
          <w:rFonts w:ascii="Arial" w:hAnsi="Arial" w:cs="Arial"/>
          <w:color w:val="000000" w:themeColor="text1"/>
          <w:sz w:val="22"/>
          <w:szCs w:val="22"/>
          <w:lang w:val="en-US"/>
        </w:rPr>
      </w:pPr>
      <w:r w:rsidRPr="003C479F">
        <w:rPr>
          <w:rFonts w:ascii="Arial" w:eastAsia="Helvetica Neue" w:hAnsi="Arial" w:cs="Arial"/>
          <w:sz w:val="22"/>
          <w:szCs w:val="22"/>
          <w:lang w:val="en-US"/>
        </w:rPr>
        <w:t>Appendices</w:t>
      </w:r>
      <w:r w:rsidRPr="003C479F">
        <w:rPr>
          <w:rFonts w:ascii="Arial" w:hAnsi="Arial" w:cs="Arial"/>
        </w:rPr>
        <w:tab/>
      </w:r>
      <w:r w:rsidRPr="003C479F">
        <w:rPr>
          <w:rFonts w:ascii="Arial" w:hAnsi="Arial" w:cs="Arial"/>
        </w:rPr>
        <w:tab/>
      </w:r>
      <w:r w:rsidRPr="003C479F">
        <w:rPr>
          <w:rFonts w:ascii="Arial" w:hAnsi="Arial" w:cs="Arial"/>
        </w:rPr>
        <w:tab/>
      </w:r>
      <w:r w:rsidRPr="003C479F">
        <w:rPr>
          <w:rFonts w:ascii="Arial" w:hAnsi="Arial" w:cs="Arial"/>
        </w:rPr>
        <w:tab/>
      </w:r>
      <w:r w:rsidRPr="003C479F">
        <w:rPr>
          <w:rFonts w:ascii="Arial" w:hAnsi="Arial" w:cs="Arial"/>
        </w:rPr>
        <w:tab/>
      </w:r>
      <w:r w:rsidRPr="003C479F">
        <w:rPr>
          <w:rFonts w:ascii="Arial" w:hAnsi="Arial" w:cs="Arial"/>
        </w:rPr>
        <w:tab/>
      </w:r>
      <w:r w:rsidRPr="003C479F">
        <w:rPr>
          <w:rFonts w:ascii="Arial" w:hAnsi="Arial" w:cs="Arial"/>
        </w:rPr>
        <w:tab/>
      </w:r>
      <w:r w:rsidRPr="003C479F">
        <w:rPr>
          <w:rFonts w:ascii="Arial" w:hAnsi="Arial" w:cs="Arial"/>
        </w:rPr>
        <w:tab/>
      </w:r>
      <w:r w:rsidRPr="003C479F">
        <w:rPr>
          <w:rFonts w:ascii="Arial" w:hAnsi="Arial" w:cs="Arial"/>
        </w:rPr>
        <w:tab/>
      </w:r>
      <w:r w:rsidR="00582831">
        <w:rPr>
          <w:rFonts w:ascii="Arial" w:eastAsia="Helvetica Neue" w:hAnsi="Arial" w:cs="Arial"/>
          <w:sz w:val="22"/>
          <w:szCs w:val="22"/>
          <w:lang w:val="en-US"/>
        </w:rPr>
        <w:t>7</w:t>
      </w:r>
    </w:p>
    <w:p w14:paraId="17DFD72F" w14:textId="5A817BF5" w:rsidR="00D41659" w:rsidRPr="00D41659" w:rsidRDefault="00D41659" w:rsidP="00D41659">
      <w:pPr>
        <w:pStyle w:val="Body"/>
        <w:spacing w:before="120" w:line="288" w:lineRule="auto"/>
        <w:ind w:left="709" w:firstLine="567"/>
        <w:rPr>
          <w:rFonts w:ascii="Arial" w:hAnsi="Arial" w:cs="Arial"/>
          <w:color w:val="000000" w:themeColor="text1"/>
        </w:rPr>
      </w:pPr>
      <w:r w:rsidRPr="00D41659">
        <w:rPr>
          <w:rFonts w:ascii="Arial" w:hAnsi="Arial" w:cs="Arial"/>
          <w:color w:val="000000" w:themeColor="text1"/>
        </w:rPr>
        <w:t>Actions for those with strategic primary care safeguarding roles</w:t>
      </w:r>
    </w:p>
    <w:p w14:paraId="3C31941C" w14:textId="621497A7" w:rsidR="00D41659" w:rsidRPr="00D41659" w:rsidRDefault="00D41659" w:rsidP="00D41659">
      <w:pPr>
        <w:pStyle w:val="BodyA"/>
        <w:widowControl w:val="0"/>
        <w:suppressAutoHyphens/>
        <w:spacing w:before="120" w:line="288" w:lineRule="auto"/>
        <w:ind w:left="709" w:firstLine="567"/>
        <w:rPr>
          <w:rFonts w:ascii="Arial" w:eastAsia="Helvetica Neue" w:hAnsi="Arial" w:cs="Arial"/>
          <w:sz w:val="22"/>
          <w:szCs w:val="22"/>
          <w:lang w:val="en-US"/>
        </w:rPr>
      </w:pPr>
      <w:r w:rsidRPr="00D41659">
        <w:rPr>
          <w:rFonts w:ascii="Arial" w:hAnsi="Arial" w:cs="Arial"/>
          <w:color w:val="000000" w:themeColor="text1"/>
          <w:sz w:val="22"/>
          <w:szCs w:val="22"/>
        </w:rPr>
        <w:t>Further information on domestic abuse</w:t>
      </w:r>
    </w:p>
    <w:p w14:paraId="654C1976" w14:textId="356F75AE" w:rsidR="00AC48E2" w:rsidRPr="00D41659" w:rsidRDefault="00D41659" w:rsidP="00D41659">
      <w:pPr>
        <w:pStyle w:val="BodyA"/>
        <w:widowControl w:val="0"/>
        <w:suppressAutoHyphens/>
        <w:spacing w:before="120" w:line="288" w:lineRule="auto"/>
        <w:ind w:left="709" w:firstLine="567"/>
        <w:rPr>
          <w:rFonts w:ascii="Arial" w:eastAsia="Helvetica Neue" w:hAnsi="Arial" w:cs="Arial"/>
          <w:sz w:val="22"/>
          <w:szCs w:val="22"/>
          <w:lang w:val="en-US"/>
        </w:rPr>
      </w:pPr>
      <w:r w:rsidRPr="00D41659">
        <w:rPr>
          <w:rFonts w:ascii="Arial" w:hAnsi="Arial" w:cs="Arial"/>
          <w:color w:val="000000" w:themeColor="text1"/>
          <w:sz w:val="22"/>
          <w:szCs w:val="22"/>
        </w:rPr>
        <w:t xml:space="preserve">Data from </w:t>
      </w:r>
      <w:proofErr w:type="spellStart"/>
      <w:r w:rsidRPr="00D41659">
        <w:rPr>
          <w:rFonts w:ascii="Arial" w:hAnsi="Arial" w:cs="Arial"/>
          <w:color w:val="000000" w:themeColor="text1"/>
          <w:sz w:val="22"/>
          <w:szCs w:val="22"/>
        </w:rPr>
        <w:t>SafeLives</w:t>
      </w:r>
      <w:proofErr w:type="spellEnd"/>
      <w:r w:rsidRPr="00D41659">
        <w:rPr>
          <w:rFonts w:ascii="Arial" w:hAnsi="Arial" w:cs="Arial"/>
          <w:color w:val="000000" w:themeColor="text1"/>
          <w:sz w:val="22"/>
          <w:szCs w:val="22"/>
        </w:rPr>
        <w:t xml:space="preserve"> Spotlight resources</w:t>
      </w:r>
    </w:p>
    <w:p w14:paraId="3379C126" w14:textId="77777777" w:rsidR="00AC48E2" w:rsidRDefault="00AC48E2" w:rsidP="00AC48E2">
      <w:pPr>
        <w:pStyle w:val="BodyA"/>
        <w:widowControl w:val="0"/>
        <w:suppressAutoHyphens/>
        <w:spacing w:before="120" w:line="288" w:lineRule="auto"/>
        <w:rPr>
          <w:rFonts w:ascii="Helvetica Neue" w:eastAsia="Helvetica Neue" w:hAnsi="Helvetica Neue" w:cs="Helvetica Neue"/>
          <w:sz w:val="22"/>
          <w:szCs w:val="22"/>
          <w:lang w:val="en-US"/>
        </w:rPr>
      </w:pPr>
    </w:p>
    <w:p w14:paraId="48E9A44D" w14:textId="77777777" w:rsidR="00AC48E2" w:rsidRDefault="00AC48E2" w:rsidP="00AC48E2">
      <w:pPr>
        <w:spacing w:before="120" w:after="0" w:line="288" w:lineRule="auto"/>
      </w:pPr>
    </w:p>
    <w:p w14:paraId="353DBF83" w14:textId="63A4062A" w:rsidR="009428F2" w:rsidRPr="00753442" w:rsidRDefault="00AC48E2" w:rsidP="00753442">
      <w:pPr>
        <w:pStyle w:val="BodyA"/>
        <w:widowControl w:val="0"/>
        <w:suppressAutoHyphens/>
        <w:spacing w:before="120" w:line="288" w:lineRule="auto"/>
        <w:rPr>
          <w:rFonts w:asciiTheme="minorHAnsi" w:eastAsiaTheme="minorEastAsia" w:hAnsiTheme="minorHAnsi" w:cstheme="minorBidi"/>
          <w:color w:val="000000" w:themeColor="text1"/>
          <w:sz w:val="32"/>
          <w:szCs w:val="32"/>
          <w:lang w:val="en-US"/>
        </w:rPr>
      </w:pPr>
      <w:r w:rsidRPr="00753442">
        <w:rPr>
          <w:rFonts w:ascii="Lato" w:hAnsi="Lato" w:cs="Arial"/>
          <w:color w:val="000000" w:themeColor="text1"/>
          <w:sz w:val="32"/>
          <w:szCs w:val="32"/>
          <w:lang w:val="en-US"/>
        </w:rPr>
        <w:t>Introduction</w:t>
      </w:r>
    </w:p>
    <w:p w14:paraId="7B57DFF0" w14:textId="018BEC9A" w:rsidR="00B92D8C" w:rsidRPr="0047503B" w:rsidRDefault="00B92D8C" w:rsidP="00B92D8C">
      <w:pPr>
        <w:pStyle w:val="Body"/>
        <w:spacing w:before="120" w:line="288" w:lineRule="auto"/>
        <w:rPr>
          <w:rFonts w:ascii="Arial" w:hAnsi="Arial" w:cs="Arial"/>
          <w:color w:val="000000" w:themeColor="text1"/>
        </w:rPr>
      </w:pPr>
      <w:r w:rsidRPr="0047503B">
        <w:rPr>
          <w:rFonts w:ascii="Arial" w:hAnsi="Arial" w:cs="Arial"/>
        </w:rPr>
        <w:t xml:space="preserve">This guidance is concerned with safeguarding patients who are, have been or will become victims of abuse and who may be put at risk by online access to their GP record.  </w:t>
      </w:r>
      <w:r w:rsidRPr="0047503B">
        <w:rPr>
          <w:rFonts w:ascii="Arial" w:hAnsi="Arial" w:cs="Arial"/>
          <w:color w:val="000000" w:themeColor="text1"/>
        </w:rPr>
        <w:t xml:space="preserve">Accurate and detailed GP records are an important tool in supporting longitudinal care of victims and survivors of </w:t>
      </w:r>
      <w:r w:rsidR="001B080E" w:rsidRPr="0047503B">
        <w:rPr>
          <w:rFonts w:ascii="Arial" w:hAnsi="Arial" w:cs="Arial"/>
          <w:color w:val="000000" w:themeColor="text1"/>
        </w:rPr>
        <w:t>abuse,</w:t>
      </w:r>
      <w:r w:rsidRPr="0047503B">
        <w:rPr>
          <w:rFonts w:ascii="Arial" w:hAnsi="Arial" w:cs="Arial"/>
          <w:color w:val="000000" w:themeColor="text1"/>
        </w:rPr>
        <w:t xml:space="preserve"> but the same information can present a risk to victims if it becomes available to someone who is abusing them.  </w:t>
      </w:r>
    </w:p>
    <w:p w14:paraId="02FD06E2" w14:textId="1110CAB4" w:rsidR="00B92D8C" w:rsidRPr="0047503B" w:rsidRDefault="04034A1C" w:rsidP="00B92D8C">
      <w:pPr>
        <w:pStyle w:val="Body"/>
        <w:spacing w:before="120" w:line="288" w:lineRule="auto"/>
        <w:rPr>
          <w:rFonts w:ascii="Arial" w:hAnsi="Arial" w:cs="Arial"/>
          <w:color w:val="000000" w:themeColor="text1"/>
        </w:rPr>
      </w:pPr>
      <w:r w:rsidRPr="0047503B">
        <w:rPr>
          <w:rFonts w:ascii="Arial" w:hAnsi="Arial" w:cs="Arial"/>
          <w:color w:val="000000" w:themeColor="text1"/>
        </w:rPr>
        <w:t xml:space="preserve">It is important that practice team members are always vigilant to identify </w:t>
      </w:r>
      <w:r w:rsidR="001B080E">
        <w:rPr>
          <w:rFonts w:ascii="Arial" w:hAnsi="Arial" w:cs="Arial"/>
          <w:color w:val="000000" w:themeColor="text1"/>
        </w:rPr>
        <w:t xml:space="preserve">and act on </w:t>
      </w:r>
      <w:r w:rsidRPr="0047503B">
        <w:rPr>
          <w:rFonts w:ascii="Arial" w:hAnsi="Arial" w:cs="Arial"/>
          <w:color w:val="000000" w:themeColor="text1"/>
        </w:rPr>
        <w:t xml:space="preserve">evidence of safeguarding </w:t>
      </w:r>
      <w:r w:rsidR="001B080E" w:rsidRPr="0047503B">
        <w:rPr>
          <w:rFonts w:ascii="Arial" w:hAnsi="Arial" w:cs="Arial"/>
          <w:color w:val="000000" w:themeColor="text1"/>
        </w:rPr>
        <w:t>risks and</w:t>
      </w:r>
      <w:r w:rsidRPr="0047503B">
        <w:rPr>
          <w:rFonts w:ascii="Arial" w:hAnsi="Arial" w:cs="Arial"/>
          <w:color w:val="000000" w:themeColor="text1"/>
        </w:rPr>
        <w:t xml:space="preserve"> </w:t>
      </w:r>
      <w:r w:rsidR="59A1F1D9" w:rsidRPr="0047503B">
        <w:rPr>
          <w:rFonts w:ascii="Arial" w:hAnsi="Arial" w:cs="Arial"/>
          <w:color w:val="000000" w:themeColor="text1"/>
        </w:rPr>
        <w:t xml:space="preserve">ensure that any potentially harmful information in the record is hidden from the patient’s online </w:t>
      </w:r>
      <w:r w:rsidR="001B080E">
        <w:rPr>
          <w:rFonts w:ascii="Arial" w:hAnsi="Arial" w:cs="Arial"/>
          <w:color w:val="000000" w:themeColor="text1"/>
        </w:rPr>
        <w:t>view of the record, a process called redaction</w:t>
      </w:r>
      <w:r w:rsidR="59A1F1D9" w:rsidRPr="0047503B">
        <w:rPr>
          <w:rFonts w:ascii="Arial" w:hAnsi="Arial" w:cs="Arial"/>
          <w:color w:val="000000" w:themeColor="text1"/>
        </w:rPr>
        <w:t xml:space="preserve">. </w:t>
      </w:r>
    </w:p>
    <w:p w14:paraId="6ED052C9" w14:textId="5E19805E" w:rsidR="004A025E" w:rsidRPr="0047503B" w:rsidRDefault="4BAD05A6" w:rsidP="00AC48E2">
      <w:pPr>
        <w:pStyle w:val="Body"/>
        <w:spacing w:before="120" w:line="288" w:lineRule="auto"/>
        <w:rPr>
          <w:rFonts w:ascii="Arial" w:hAnsi="Arial" w:cs="Arial"/>
        </w:rPr>
      </w:pPr>
      <w:r w:rsidRPr="0047503B">
        <w:rPr>
          <w:rFonts w:ascii="Arial" w:hAnsi="Arial" w:cs="Arial"/>
        </w:rPr>
        <w:t xml:space="preserve">A patient's experience and risk of abuse can fluctuate over a lifetime so practices will always need to be alert to historical, </w:t>
      </w:r>
      <w:proofErr w:type="gramStart"/>
      <w:r w:rsidRPr="0047503B">
        <w:rPr>
          <w:rFonts w:ascii="Arial" w:hAnsi="Arial" w:cs="Arial"/>
        </w:rPr>
        <w:t>current</w:t>
      </w:r>
      <w:proofErr w:type="gramEnd"/>
      <w:r w:rsidRPr="0047503B">
        <w:rPr>
          <w:rFonts w:ascii="Arial" w:hAnsi="Arial" w:cs="Arial"/>
        </w:rPr>
        <w:t xml:space="preserve"> and emerging safeguarding concerns.</w:t>
      </w:r>
      <w:r w:rsidR="59A1F1D9" w:rsidRPr="0047503B">
        <w:rPr>
          <w:rFonts w:ascii="Arial" w:hAnsi="Arial" w:cs="Arial"/>
        </w:rPr>
        <w:t xml:space="preserve">  Vulnerable groups of patients who are </w:t>
      </w:r>
      <w:r w:rsidR="59A1F1D9" w:rsidRPr="0047503B">
        <w:rPr>
          <w:rFonts w:ascii="Arial" w:eastAsiaTheme="minorEastAsia" w:hAnsi="Arial" w:cs="Arial"/>
          <w:color w:val="000000" w:themeColor="text1"/>
        </w:rPr>
        <w:t>likely to be at increased risk of coercion to allow access to their online record are listed in Box 1</w:t>
      </w:r>
      <w:r w:rsidR="001B080E">
        <w:rPr>
          <w:rFonts w:ascii="Arial" w:eastAsiaTheme="minorEastAsia" w:hAnsi="Arial" w:cs="Arial"/>
          <w:color w:val="000000" w:themeColor="text1"/>
        </w:rPr>
        <w:t xml:space="preserve"> below</w:t>
      </w:r>
      <w:r w:rsidR="59A1F1D9" w:rsidRPr="0047503B">
        <w:rPr>
          <w:rFonts w:ascii="Arial" w:eastAsiaTheme="minorEastAsia" w:hAnsi="Arial" w:cs="Arial"/>
          <w:color w:val="000000" w:themeColor="text1"/>
        </w:rPr>
        <w:t>.</w:t>
      </w:r>
    </w:p>
    <w:p w14:paraId="00F0754D" w14:textId="77777777" w:rsidR="00302568" w:rsidRDefault="00CB4AAE" w:rsidP="00AC48E2">
      <w:pPr>
        <w:pStyle w:val="Body"/>
        <w:spacing w:before="120" w:line="288" w:lineRule="auto"/>
        <w:rPr>
          <w:rFonts w:ascii="Arial" w:hAnsi="Arial" w:cs="Arial"/>
        </w:rPr>
      </w:pPr>
      <w:r w:rsidRPr="0047503B">
        <w:rPr>
          <w:rFonts w:ascii="Arial" w:hAnsi="Arial" w:cs="Arial"/>
        </w:rPr>
        <w:t xml:space="preserve">The automation of </w:t>
      </w:r>
      <w:r w:rsidR="001B080E">
        <w:rPr>
          <w:rFonts w:ascii="Arial" w:hAnsi="Arial" w:cs="Arial"/>
        </w:rPr>
        <w:t>the process for patients to obtain</w:t>
      </w:r>
      <w:r w:rsidRPr="0047503B">
        <w:rPr>
          <w:rFonts w:ascii="Arial" w:hAnsi="Arial" w:cs="Arial"/>
        </w:rPr>
        <w:t xml:space="preserve"> </w:t>
      </w:r>
      <w:r w:rsidR="001B080E">
        <w:rPr>
          <w:rFonts w:ascii="Arial" w:hAnsi="Arial" w:cs="Arial"/>
        </w:rPr>
        <w:t xml:space="preserve">online access to their future GP </w:t>
      </w:r>
      <w:r w:rsidRPr="0047503B">
        <w:rPr>
          <w:rFonts w:ascii="Arial" w:hAnsi="Arial" w:cs="Arial"/>
        </w:rPr>
        <w:t xml:space="preserve">record removes the opportunity </w:t>
      </w:r>
      <w:r w:rsidR="00302568">
        <w:rPr>
          <w:rFonts w:ascii="Arial" w:hAnsi="Arial" w:cs="Arial"/>
        </w:rPr>
        <w:t>that</w:t>
      </w:r>
      <w:r w:rsidRPr="0047503B">
        <w:rPr>
          <w:rFonts w:ascii="Arial" w:hAnsi="Arial" w:cs="Arial"/>
        </w:rPr>
        <w:t xml:space="preserve"> practices </w:t>
      </w:r>
      <w:r w:rsidR="00302568">
        <w:rPr>
          <w:rFonts w:ascii="Arial" w:hAnsi="Arial" w:cs="Arial"/>
        </w:rPr>
        <w:t>had t</w:t>
      </w:r>
      <w:r w:rsidRPr="0047503B">
        <w:rPr>
          <w:rFonts w:ascii="Arial" w:hAnsi="Arial" w:cs="Arial"/>
        </w:rPr>
        <w:t xml:space="preserve">o assess patients individually </w:t>
      </w:r>
      <w:r w:rsidR="001B080E">
        <w:rPr>
          <w:rFonts w:ascii="Arial" w:hAnsi="Arial" w:cs="Arial"/>
        </w:rPr>
        <w:t>when</w:t>
      </w:r>
      <w:r w:rsidRPr="0047503B">
        <w:rPr>
          <w:rFonts w:ascii="Arial" w:hAnsi="Arial" w:cs="Arial"/>
        </w:rPr>
        <w:t xml:space="preserve"> they </w:t>
      </w:r>
      <w:proofErr w:type="gramStart"/>
      <w:r w:rsidR="001B080E">
        <w:rPr>
          <w:rFonts w:ascii="Arial" w:hAnsi="Arial" w:cs="Arial"/>
        </w:rPr>
        <w:t>have to</w:t>
      </w:r>
      <w:proofErr w:type="gramEnd"/>
      <w:r w:rsidR="001B080E">
        <w:rPr>
          <w:rFonts w:ascii="Arial" w:hAnsi="Arial" w:cs="Arial"/>
        </w:rPr>
        <w:t xml:space="preserve"> </w:t>
      </w:r>
      <w:r w:rsidR="00416A08" w:rsidRPr="0047503B">
        <w:rPr>
          <w:rFonts w:ascii="Arial" w:hAnsi="Arial" w:cs="Arial"/>
        </w:rPr>
        <w:t>app</w:t>
      </w:r>
      <w:r w:rsidRPr="0047503B">
        <w:rPr>
          <w:rFonts w:ascii="Arial" w:hAnsi="Arial" w:cs="Arial"/>
        </w:rPr>
        <w:t>ly for record access</w:t>
      </w:r>
      <w:r w:rsidR="00302568">
        <w:rPr>
          <w:rFonts w:ascii="Arial" w:hAnsi="Arial" w:cs="Arial"/>
        </w:rPr>
        <w:t>.  While considering the application, there was time for practices</w:t>
      </w:r>
      <w:r w:rsidRPr="0047503B">
        <w:rPr>
          <w:rFonts w:ascii="Arial" w:hAnsi="Arial" w:cs="Arial"/>
        </w:rPr>
        <w:t xml:space="preserve"> </w:t>
      </w:r>
      <w:r w:rsidR="00416A08" w:rsidRPr="0047503B">
        <w:rPr>
          <w:rFonts w:ascii="Arial" w:hAnsi="Arial" w:cs="Arial"/>
        </w:rPr>
        <w:t xml:space="preserve">to </w:t>
      </w:r>
      <w:r w:rsidRPr="0047503B">
        <w:rPr>
          <w:rFonts w:ascii="Arial" w:hAnsi="Arial" w:cs="Arial"/>
        </w:rPr>
        <w:t xml:space="preserve">investigate whether </w:t>
      </w:r>
      <w:r w:rsidR="00302568">
        <w:rPr>
          <w:rFonts w:ascii="Arial" w:hAnsi="Arial" w:cs="Arial"/>
        </w:rPr>
        <w:t>the applicant</w:t>
      </w:r>
      <w:r w:rsidRPr="0047503B">
        <w:rPr>
          <w:rFonts w:ascii="Arial" w:hAnsi="Arial" w:cs="Arial"/>
        </w:rPr>
        <w:t xml:space="preserve"> </w:t>
      </w:r>
      <w:r w:rsidR="00302568">
        <w:rPr>
          <w:rFonts w:ascii="Arial" w:hAnsi="Arial" w:cs="Arial"/>
        </w:rPr>
        <w:t>might</w:t>
      </w:r>
      <w:r w:rsidRPr="0047503B">
        <w:rPr>
          <w:rFonts w:ascii="Arial" w:hAnsi="Arial" w:cs="Arial"/>
        </w:rPr>
        <w:t xml:space="preserve"> be at risk of being coerced to share their record with </w:t>
      </w:r>
      <w:r w:rsidRPr="0047503B">
        <w:rPr>
          <w:rFonts w:ascii="Arial" w:hAnsi="Arial" w:cs="Arial"/>
        </w:rPr>
        <w:lastRenderedPageBreak/>
        <w:t xml:space="preserve">an abuser, and to screen the record for evidence of safeguarding </w:t>
      </w:r>
      <w:r w:rsidR="00302568">
        <w:rPr>
          <w:rFonts w:ascii="Arial" w:hAnsi="Arial" w:cs="Arial"/>
        </w:rPr>
        <w:t>risk that may be exacerbated by online record access, or the presence of potentially harmful information that should be redacted</w:t>
      </w:r>
      <w:r w:rsidRPr="0047503B">
        <w:rPr>
          <w:rFonts w:ascii="Arial" w:hAnsi="Arial" w:cs="Arial"/>
        </w:rPr>
        <w:t xml:space="preserve">.  </w:t>
      </w:r>
    </w:p>
    <w:p w14:paraId="577EAC8D" w14:textId="77777777" w:rsidR="00BA46BB" w:rsidRDefault="00CB4AAE" w:rsidP="00AC48E2">
      <w:pPr>
        <w:pStyle w:val="Body"/>
        <w:spacing w:before="120" w:line="288" w:lineRule="auto"/>
        <w:rPr>
          <w:rFonts w:ascii="Arial" w:hAnsi="Arial" w:cs="Arial"/>
        </w:rPr>
      </w:pPr>
      <w:r w:rsidRPr="0047503B">
        <w:rPr>
          <w:rFonts w:ascii="Arial" w:hAnsi="Arial" w:cs="Arial"/>
        </w:rPr>
        <w:t xml:space="preserve">This document </w:t>
      </w:r>
      <w:r w:rsidR="00302568">
        <w:rPr>
          <w:rFonts w:ascii="Arial" w:hAnsi="Arial" w:cs="Arial"/>
        </w:rPr>
        <w:t xml:space="preserve">focuses on safeguarding risk and </w:t>
      </w:r>
      <w:r w:rsidRPr="0047503B">
        <w:rPr>
          <w:rFonts w:ascii="Arial" w:hAnsi="Arial" w:cs="Arial"/>
        </w:rPr>
        <w:t>provides guidance about how practices manage records appropriately by heightened vigilance for evidence of safeguarding risk and extra care of the content and safety of patient records.</w:t>
      </w:r>
      <w:r w:rsidR="00302568">
        <w:rPr>
          <w:rFonts w:ascii="Arial" w:hAnsi="Arial" w:cs="Arial"/>
        </w:rPr>
        <w:t xml:space="preserve">  </w:t>
      </w:r>
    </w:p>
    <w:p w14:paraId="6BF4C61C" w14:textId="4DFE8A5E" w:rsidR="00CB4AAE" w:rsidRPr="00BA46BB" w:rsidRDefault="00BA46BB" w:rsidP="00AC48E2">
      <w:pPr>
        <w:pStyle w:val="Body"/>
        <w:spacing w:before="120" w:line="288" w:lineRule="auto"/>
        <w:rPr>
          <w:rFonts w:ascii="Arial" w:hAnsi="Arial" w:cs="Arial"/>
          <w:color w:val="00B050"/>
        </w:rPr>
      </w:pPr>
      <w:r w:rsidRPr="65D5D47B">
        <w:rPr>
          <w:rFonts w:ascii="Arial" w:hAnsi="Arial" w:cs="Arial"/>
          <w:color w:val="00B050"/>
        </w:rPr>
        <w:t>Ref: This guidance should</w:t>
      </w:r>
      <w:r w:rsidR="00302568" w:rsidRPr="65D5D47B">
        <w:rPr>
          <w:rFonts w:ascii="Arial" w:hAnsi="Arial" w:cs="Arial"/>
          <w:color w:val="00B050"/>
        </w:rPr>
        <w:t xml:space="preserve"> be read in with the guidance on</w:t>
      </w:r>
      <w:r w:rsidR="00800DC2" w:rsidRPr="65D5D47B">
        <w:rPr>
          <w:rFonts w:ascii="Arial" w:hAnsi="Arial" w:cs="Arial"/>
          <w:color w:val="00B050"/>
        </w:rPr>
        <w:t xml:space="preserve"> how to address these issues in</w:t>
      </w:r>
      <w:r w:rsidR="00302568" w:rsidRPr="65D5D47B">
        <w:rPr>
          <w:rFonts w:ascii="Arial" w:hAnsi="Arial" w:cs="Arial"/>
          <w:color w:val="00B050"/>
        </w:rPr>
        <w:t xml:space="preserve"> “Managing Potentially Harmful Information” </w:t>
      </w:r>
      <w:r w:rsidR="00800DC2" w:rsidRPr="65D5D47B">
        <w:rPr>
          <w:rFonts w:ascii="Arial" w:hAnsi="Arial" w:cs="Arial"/>
          <w:color w:val="00B050"/>
        </w:rPr>
        <w:t xml:space="preserve">“Patient Information Themes for </w:t>
      </w:r>
      <w:r w:rsidR="00C16E46">
        <w:rPr>
          <w:rFonts w:ascii="Arial" w:hAnsi="Arial" w:cs="Arial"/>
          <w:color w:val="00B050"/>
        </w:rPr>
        <w:t>GP Online Services</w:t>
      </w:r>
      <w:r w:rsidR="00302568" w:rsidRPr="65D5D47B">
        <w:rPr>
          <w:rFonts w:ascii="Arial" w:hAnsi="Arial" w:cs="Arial"/>
          <w:color w:val="00B050"/>
        </w:rPr>
        <w:t xml:space="preserve"> “Safeguarding and Vulnerable Groups” in the Toolkit.</w:t>
      </w:r>
    </w:p>
    <w:p w14:paraId="0BBA2885" w14:textId="71070878" w:rsidR="001F6B17" w:rsidRPr="0047503B" w:rsidRDefault="001F6B17" w:rsidP="00AC48E2">
      <w:pPr>
        <w:pStyle w:val="Body"/>
        <w:spacing w:before="120" w:line="288" w:lineRule="auto"/>
        <w:rPr>
          <w:rFonts w:ascii="Arial" w:hAnsi="Arial" w:cs="Arial"/>
        </w:rPr>
      </w:pPr>
    </w:p>
    <w:p w14:paraId="694ABA10" w14:textId="5D3E9636" w:rsidR="001F6B17" w:rsidRDefault="001F6B17" w:rsidP="00AC48E2">
      <w:pPr>
        <w:pStyle w:val="Body"/>
        <w:spacing w:before="120" w:line="288" w:lineRule="auto"/>
        <w:rPr>
          <w:rFonts w:ascii="Arial" w:hAnsi="Arial" w:cs="Arial"/>
        </w:rPr>
      </w:pPr>
      <w:r>
        <w:rPr>
          <w:rFonts w:ascii="Arial" w:hAnsi="Arial" w:cs="Arial"/>
          <w:noProof/>
          <w:bdr w:val="none" w:sz="0" w:space="0" w:color="auto"/>
          <w14:textOutline w14:w="0" w14:cap="rnd" w14:cmpd="sng" w14:algn="ctr">
            <w14:noFill/>
            <w14:prstDash w14:val="solid"/>
            <w14:bevel/>
          </w14:textOutline>
        </w:rPr>
        <mc:AlternateContent>
          <mc:Choice Requires="wps">
            <w:drawing>
              <wp:inline distT="0" distB="0" distL="0" distR="0" wp14:anchorId="33FEA3AB" wp14:editId="679088D0">
                <wp:extent cx="5730875" cy="6243245"/>
                <wp:effectExtent l="12700" t="12700" r="9525" b="18415"/>
                <wp:docPr id="3" name="Text Box 3"/>
                <wp:cNvGraphicFramePr/>
                <a:graphic xmlns:a="http://schemas.openxmlformats.org/drawingml/2006/main">
                  <a:graphicData uri="http://schemas.microsoft.com/office/word/2010/wordprocessingShape">
                    <wps:wsp>
                      <wps:cNvSpPr txBox="1"/>
                      <wps:spPr>
                        <a:xfrm>
                          <a:off x="0" y="0"/>
                          <a:ext cx="5730875" cy="6243245"/>
                        </a:xfrm>
                        <a:prstGeom prst="rect">
                          <a:avLst/>
                        </a:prstGeom>
                        <a:solidFill>
                          <a:schemeClr val="accent1">
                            <a:lumMod val="20000"/>
                            <a:lumOff val="80000"/>
                          </a:schemeClr>
                        </a:solidFill>
                        <a:ln w="25400">
                          <a:solidFill>
                            <a:schemeClr val="accent1"/>
                          </a:solidFill>
                        </a:ln>
                      </wps:spPr>
                      <wps:txbx>
                        <w:txbxContent>
                          <w:p w14:paraId="0168995E" w14:textId="77777777" w:rsidR="001F6B17" w:rsidRPr="00BA46BB" w:rsidRDefault="001F6B17" w:rsidP="00BA46BB">
                            <w:pPr>
                              <w:spacing w:before="120" w:after="0" w:line="288" w:lineRule="auto"/>
                              <w:jc w:val="center"/>
                              <w:rPr>
                                <w:rFonts w:ascii="Lato" w:hAnsi="Lato" w:cs="Arial"/>
                                <w:b/>
                                <w:bCs/>
                                <w:color w:val="4F81BD" w:themeColor="accent1"/>
                                <w:sz w:val="32"/>
                                <w:szCs w:val="32"/>
                              </w:rPr>
                            </w:pPr>
                            <w:r w:rsidRPr="00BA46BB">
                              <w:rPr>
                                <w:rFonts w:ascii="Lato" w:hAnsi="Lato" w:cs="Arial"/>
                                <w:b/>
                                <w:bCs/>
                                <w:color w:val="4F81BD" w:themeColor="accent1"/>
                                <w:sz w:val="32"/>
                                <w:szCs w:val="32"/>
                              </w:rPr>
                              <w:t>Box 1: Vulnerable groups at risk of controlling coercion</w:t>
                            </w:r>
                          </w:p>
                          <w:p w14:paraId="044CAE36" w14:textId="77777777" w:rsidR="00BA46BB" w:rsidRDefault="00BA46BB" w:rsidP="00BA46BB">
                            <w:pPr>
                              <w:spacing w:before="120" w:after="0" w:line="288" w:lineRule="auto"/>
                              <w:rPr>
                                <w:rFonts w:ascii="Arial" w:hAnsi="Arial" w:cs="Arial"/>
                                <w:color w:val="000000" w:themeColor="text1"/>
                              </w:rPr>
                            </w:pPr>
                          </w:p>
                          <w:p w14:paraId="6A9C9CD8" w14:textId="7A5E0758" w:rsidR="001F6B17" w:rsidRDefault="001F6B17" w:rsidP="00650684">
                            <w:pPr>
                              <w:spacing w:before="120" w:after="0" w:line="288" w:lineRule="auto"/>
                              <w:rPr>
                                <w:rFonts w:ascii="Arial" w:hAnsi="Arial" w:cs="Arial"/>
                                <w:color w:val="000000" w:themeColor="text1"/>
                              </w:rPr>
                            </w:pPr>
                            <w:r>
                              <w:rPr>
                                <w:rFonts w:ascii="Arial" w:hAnsi="Arial" w:cs="Arial"/>
                                <w:color w:val="000000" w:themeColor="text1"/>
                              </w:rPr>
                              <w:t xml:space="preserve">Vulnerable groups who are likely to be at increased risk of coercion to allow access to their online record include, but may not be restricted to the following: </w:t>
                            </w:r>
                          </w:p>
                          <w:p w14:paraId="153A064A"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proofErr w:type="gramStart"/>
                            <w:r w:rsidRPr="00FB52A6">
                              <w:rPr>
                                <w:rFonts w:ascii="Arial" w:hAnsi="Arial" w:cs="Arial"/>
                                <w:color w:val="000000" w:themeColor="text1"/>
                              </w:rPr>
                              <w:t xml:space="preserve">16 </w:t>
                            </w:r>
                            <w:r>
                              <w:rPr>
                                <w:rFonts w:ascii="Arial" w:hAnsi="Arial" w:cs="Arial"/>
                                <w:color w:val="000000" w:themeColor="text1"/>
                              </w:rPr>
                              <w:t>to</w:t>
                            </w:r>
                            <w:r w:rsidRPr="00FB52A6">
                              <w:rPr>
                                <w:rFonts w:ascii="Arial" w:hAnsi="Arial" w:cs="Arial"/>
                                <w:color w:val="000000" w:themeColor="text1"/>
                              </w:rPr>
                              <w:t xml:space="preserve"> 17</w:t>
                            </w:r>
                            <w:r>
                              <w:rPr>
                                <w:rFonts w:ascii="Arial" w:hAnsi="Arial" w:cs="Arial"/>
                                <w:color w:val="000000" w:themeColor="text1"/>
                              </w:rPr>
                              <w:t xml:space="preserve"> </w:t>
                            </w:r>
                            <w:r w:rsidRPr="00FB52A6">
                              <w:rPr>
                                <w:rFonts w:ascii="Arial" w:hAnsi="Arial" w:cs="Arial"/>
                                <w:color w:val="000000" w:themeColor="text1"/>
                              </w:rPr>
                              <w:t>year</w:t>
                            </w:r>
                            <w:r>
                              <w:rPr>
                                <w:rFonts w:ascii="Arial" w:hAnsi="Arial" w:cs="Arial"/>
                                <w:color w:val="000000" w:themeColor="text1"/>
                              </w:rPr>
                              <w:t xml:space="preserve"> </w:t>
                            </w:r>
                            <w:r w:rsidRPr="00FB52A6">
                              <w:rPr>
                                <w:rFonts w:ascii="Arial" w:hAnsi="Arial" w:cs="Arial"/>
                                <w:color w:val="000000" w:themeColor="text1"/>
                              </w:rPr>
                              <w:t>olds</w:t>
                            </w:r>
                            <w:proofErr w:type="gramEnd"/>
                            <w:r w:rsidRPr="00FB52A6">
                              <w:rPr>
                                <w:rFonts w:ascii="Arial" w:hAnsi="Arial" w:cs="Arial"/>
                                <w:color w:val="000000" w:themeColor="text1"/>
                              </w:rPr>
                              <w:t xml:space="preserve"> including Looked After Children, Care Leavers and children on Child Protection Plans</w:t>
                            </w:r>
                          </w:p>
                          <w:p w14:paraId="6E1011C2"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Victims of any type of abuse, but especially </w:t>
                            </w:r>
                            <w:r>
                              <w:rPr>
                                <w:rFonts w:ascii="Arial" w:hAnsi="Arial" w:cs="Arial"/>
                                <w:color w:val="000000" w:themeColor="text1"/>
                              </w:rPr>
                              <w:t xml:space="preserve">Domestic Abuse, </w:t>
                            </w:r>
                            <w:r w:rsidRPr="00FB52A6">
                              <w:rPr>
                                <w:rFonts w:ascii="Arial" w:hAnsi="Arial" w:cs="Arial"/>
                                <w:color w:val="000000" w:themeColor="text1"/>
                              </w:rPr>
                              <w:t xml:space="preserve">Modern Slavery, </w:t>
                            </w:r>
                            <w:proofErr w:type="gramStart"/>
                            <w:r w:rsidRPr="00FB52A6">
                              <w:rPr>
                                <w:rFonts w:ascii="Arial" w:hAnsi="Arial" w:cs="Arial"/>
                                <w:color w:val="000000" w:themeColor="text1"/>
                              </w:rPr>
                              <w:t>Trafficking</w:t>
                            </w:r>
                            <w:proofErr w:type="gramEnd"/>
                            <w:r w:rsidRPr="00FB52A6">
                              <w:rPr>
                                <w:rFonts w:ascii="Arial" w:hAnsi="Arial" w:cs="Arial"/>
                                <w:color w:val="000000" w:themeColor="text1"/>
                              </w:rPr>
                              <w:t xml:space="preserve"> and exploitation of any kind</w:t>
                            </w:r>
                          </w:p>
                          <w:p w14:paraId="79862740"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Adults with safeguarding information coded on their record such as ‘Adult Safeguarding Concern’</w:t>
                            </w:r>
                          </w:p>
                          <w:p w14:paraId="2A9CB21F"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Known perpetrators of abuse</w:t>
                            </w:r>
                          </w:p>
                          <w:p w14:paraId="586A0A14"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learning disabilities</w:t>
                            </w:r>
                          </w:p>
                          <w:p w14:paraId="771191A8"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autism</w:t>
                            </w:r>
                          </w:p>
                          <w:p w14:paraId="780DC58D"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Those with dementia </w:t>
                            </w:r>
                          </w:p>
                          <w:p w14:paraId="4360A53D"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Asylum Seekers and those whose immigration status is uncertain</w:t>
                            </w:r>
                          </w:p>
                          <w:p w14:paraId="6DAFE81A" w14:textId="77777777" w:rsidR="001F6B17" w:rsidRPr="005155A0"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serious mental health conditions</w:t>
                            </w:r>
                          </w:p>
                          <w:p w14:paraId="10683093"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Pr>
                                <w:rFonts w:ascii="Arial" w:hAnsi="Arial" w:cs="Arial"/>
                                <w:color w:val="000000" w:themeColor="text1"/>
                              </w:rPr>
                              <w:t>Those with post-traumatic stress disorder</w:t>
                            </w:r>
                          </w:p>
                          <w:p w14:paraId="081C2616"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Other vulnerable groups including those who are homeless</w:t>
                            </w:r>
                            <w:r>
                              <w:rPr>
                                <w:rFonts w:ascii="Arial" w:hAnsi="Arial" w:cs="Arial"/>
                                <w:color w:val="000000" w:themeColor="text1"/>
                              </w:rPr>
                              <w:t xml:space="preserve"> and</w:t>
                            </w:r>
                            <w:r w:rsidRPr="00FB52A6">
                              <w:rPr>
                                <w:rFonts w:ascii="Arial" w:hAnsi="Arial" w:cs="Arial"/>
                                <w:color w:val="000000" w:themeColor="text1"/>
                              </w:rPr>
                              <w:t xml:space="preserve"> those with substance misuse issues</w:t>
                            </w:r>
                          </w:p>
                          <w:p w14:paraId="3AEDD3B0" w14:textId="77777777" w:rsidR="001F6B17" w:rsidRPr="00FB52A6" w:rsidRDefault="001F6B17" w:rsidP="001F6B17">
                            <w:pPr>
                              <w:numPr>
                                <w:ilvl w:val="0"/>
                                <w:numId w:val="2"/>
                              </w:numPr>
                              <w:spacing w:before="120" w:after="0" w:line="288" w:lineRule="auto"/>
                              <w:ind w:left="426"/>
                              <w:rPr>
                                <w:rFonts w:ascii="Arial" w:hAnsi="Arial" w:cs="Arial"/>
                                <w:color w:val="000000" w:themeColor="text1"/>
                              </w:rPr>
                            </w:pPr>
                            <w:r w:rsidRPr="00FB52A6">
                              <w:rPr>
                                <w:rFonts w:ascii="Arial" w:hAnsi="Arial" w:cs="Arial"/>
                                <w:color w:val="000000" w:themeColor="text1"/>
                              </w:rPr>
                              <w:t>Prisoners, including those who are about to/have just gone into prison, and those who have come out of prison.</w:t>
                            </w:r>
                          </w:p>
                          <w:p w14:paraId="50DEDB88" w14:textId="3A0C709B" w:rsidR="001F6B17" w:rsidRPr="003C05CE" w:rsidRDefault="001F6B17" w:rsidP="001F6B17">
                            <w:pPr>
                              <w:numPr>
                                <w:ilvl w:val="0"/>
                                <w:numId w:val="2"/>
                              </w:numPr>
                              <w:spacing w:before="120" w:after="0" w:line="288" w:lineRule="auto"/>
                              <w:ind w:left="426"/>
                              <w:rPr>
                                <w:rFonts w:ascii="Arial" w:hAnsi="Arial" w:cs="Arial"/>
                                <w:color w:val="000000" w:themeColor="text1"/>
                              </w:rPr>
                            </w:pPr>
                            <w:r w:rsidRPr="00FB52A6">
                              <w:rPr>
                                <w:rFonts w:ascii="Arial" w:hAnsi="Arial" w:cs="Arial"/>
                                <w:color w:val="000000" w:themeColor="text1"/>
                              </w:rPr>
                              <w:t xml:space="preserve">Patients who are blind/visually impaired, who have poor literacy, who use different languages other than English, who communicate in different ways, who have other accessibility issues such as dyslexia and </w:t>
                            </w:r>
                            <w:r w:rsidR="00264091">
                              <w:rPr>
                                <w:rFonts w:ascii="Arial" w:hAnsi="Arial" w:cs="Arial"/>
                                <w:color w:val="000000" w:themeColor="text1"/>
                              </w:rPr>
                              <w:t>attention deficit hyperactivity disorder</w:t>
                            </w:r>
                            <w:r>
                              <w:rPr>
                                <w:rFonts w:ascii="Arial" w:hAnsi="Arial" w:cs="Arial"/>
                                <w:color w:val="000000" w:themeColor="text1"/>
                              </w:rPr>
                              <w:t xml:space="preserve"> </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w:pict>
              <v:shapetype w14:anchorId="33FEA3AB" id="_x0000_t202" coordsize="21600,21600" o:spt="202" path="m,l,21600r21600,l21600,xe">
                <v:stroke joinstyle="miter"/>
                <v:path gradientshapeok="t" o:connecttype="rect"/>
              </v:shapetype>
              <v:shape id="Text Box 3" o:spid="_x0000_s1026" type="#_x0000_t202" style="width:451.25pt;height:4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" fillcolor="#dbe5f1 [660]" strokecolor="#4f81bd [3204]" strokeweight="2pt">
                <v:textbox inset="5mm,5mm,5mm,5mm">
                  <w:txbxContent>
                    <w:p w14:paraId="0168995E" w14:textId="77777777" w:rsidR="001F6B17" w:rsidRPr="00BA46BB" w:rsidRDefault="001F6B17" w:rsidP="00BA46BB">
                      <w:pPr>
                        <w:spacing w:before="120" w:after="0" w:line="288" w:lineRule="auto"/>
                        <w:jc w:val="center"/>
                        <w:rPr>
                          <w:rFonts w:ascii="Lato" w:hAnsi="Lato" w:cs="Arial"/>
                          <w:b/>
                          <w:bCs/>
                          <w:color w:val="4F81BD" w:themeColor="accent1"/>
                          <w:sz w:val="32"/>
                          <w:szCs w:val="32"/>
                        </w:rPr>
                      </w:pPr>
                      <w:r w:rsidRPr="00BA46BB">
                        <w:rPr>
                          <w:rFonts w:ascii="Lato" w:hAnsi="Lato" w:cs="Arial"/>
                          <w:b/>
                          <w:bCs/>
                          <w:color w:val="4F81BD" w:themeColor="accent1"/>
                          <w:sz w:val="32"/>
                          <w:szCs w:val="32"/>
                        </w:rPr>
                        <w:t>Box 1: Vulnerable groups at risk of controlling coercion</w:t>
                      </w:r>
                    </w:p>
                    <w:p w14:paraId="044CAE36" w14:textId="77777777" w:rsidR="00BA46BB" w:rsidRDefault="00BA46BB" w:rsidP="00BA46BB">
                      <w:pPr>
                        <w:spacing w:before="120" w:after="0" w:line="288" w:lineRule="auto"/>
                        <w:rPr>
                          <w:rFonts w:ascii="Arial" w:hAnsi="Arial" w:cs="Arial"/>
                          <w:color w:val="000000" w:themeColor="text1"/>
                        </w:rPr>
                      </w:pPr>
                    </w:p>
                    <w:p w14:paraId="6A9C9CD8" w14:textId="7A5E0758" w:rsidR="001F6B17" w:rsidRDefault="001F6B17" w:rsidP="00650684">
                      <w:pPr>
                        <w:spacing w:before="120" w:after="0" w:line="288" w:lineRule="auto"/>
                        <w:rPr>
                          <w:rFonts w:ascii="Arial" w:hAnsi="Arial" w:cs="Arial"/>
                          <w:color w:val="000000" w:themeColor="text1"/>
                        </w:rPr>
                      </w:pPr>
                      <w:r>
                        <w:rPr>
                          <w:rFonts w:ascii="Arial" w:hAnsi="Arial" w:cs="Arial"/>
                          <w:color w:val="000000" w:themeColor="text1"/>
                        </w:rPr>
                        <w:t xml:space="preserve">Vulnerable groups who are likely to be at increased risk of coercion to allow access to their online record include, but may not be restricted to the following: </w:t>
                      </w:r>
                    </w:p>
                    <w:p w14:paraId="153A064A"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proofErr w:type="gramStart"/>
                      <w:r w:rsidRPr="00FB52A6">
                        <w:rPr>
                          <w:rFonts w:ascii="Arial" w:hAnsi="Arial" w:cs="Arial"/>
                          <w:color w:val="000000" w:themeColor="text1"/>
                        </w:rPr>
                        <w:t xml:space="preserve">16 </w:t>
                      </w:r>
                      <w:r>
                        <w:rPr>
                          <w:rFonts w:ascii="Arial" w:hAnsi="Arial" w:cs="Arial"/>
                          <w:color w:val="000000" w:themeColor="text1"/>
                        </w:rPr>
                        <w:t>to</w:t>
                      </w:r>
                      <w:r w:rsidRPr="00FB52A6">
                        <w:rPr>
                          <w:rFonts w:ascii="Arial" w:hAnsi="Arial" w:cs="Arial"/>
                          <w:color w:val="000000" w:themeColor="text1"/>
                        </w:rPr>
                        <w:t xml:space="preserve"> 17</w:t>
                      </w:r>
                      <w:r>
                        <w:rPr>
                          <w:rFonts w:ascii="Arial" w:hAnsi="Arial" w:cs="Arial"/>
                          <w:color w:val="000000" w:themeColor="text1"/>
                        </w:rPr>
                        <w:t xml:space="preserve"> </w:t>
                      </w:r>
                      <w:r w:rsidRPr="00FB52A6">
                        <w:rPr>
                          <w:rFonts w:ascii="Arial" w:hAnsi="Arial" w:cs="Arial"/>
                          <w:color w:val="000000" w:themeColor="text1"/>
                        </w:rPr>
                        <w:t>year</w:t>
                      </w:r>
                      <w:r>
                        <w:rPr>
                          <w:rFonts w:ascii="Arial" w:hAnsi="Arial" w:cs="Arial"/>
                          <w:color w:val="000000" w:themeColor="text1"/>
                        </w:rPr>
                        <w:t xml:space="preserve"> </w:t>
                      </w:r>
                      <w:r w:rsidRPr="00FB52A6">
                        <w:rPr>
                          <w:rFonts w:ascii="Arial" w:hAnsi="Arial" w:cs="Arial"/>
                          <w:color w:val="000000" w:themeColor="text1"/>
                        </w:rPr>
                        <w:t>olds</w:t>
                      </w:r>
                      <w:proofErr w:type="gramEnd"/>
                      <w:r w:rsidRPr="00FB52A6">
                        <w:rPr>
                          <w:rFonts w:ascii="Arial" w:hAnsi="Arial" w:cs="Arial"/>
                          <w:color w:val="000000" w:themeColor="text1"/>
                        </w:rPr>
                        <w:t xml:space="preserve"> including Looked After Children, Care Leavers and children on Child Protection Plans</w:t>
                      </w:r>
                    </w:p>
                    <w:p w14:paraId="6E1011C2"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Victims of any type of abuse, but especially </w:t>
                      </w:r>
                      <w:r>
                        <w:rPr>
                          <w:rFonts w:ascii="Arial" w:hAnsi="Arial" w:cs="Arial"/>
                          <w:color w:val="000000" w:themeColor="text1"/>
                        </w:rPr>
                        <w:t xml:space="preserve">Domestic Abuse, </w:t>
                      </w:r>
                      <w:r w:rsidRPr="00FB52A6">
                        <w:rPr>
                          <w:rFonts w:ascii="Arial" w:hAnsi="Arial" w:cs="Arial"/>
                          <w:color w:val="000000" w:themeColor="text1"/>
                        </w:rPr>
                        <w:t xml:space="preserve">Modern Slavery, </w:t>
                      </w:r>
                      <w:proofErr w:type="gramStart"/>
                      <w:r w:rsidRPr="00FB52A6">
                        <w:rPr>
                          <w:rFonts w:ascii="Arial" w:hAnsi="Arial" w:cs="Arial"/>
                          <w:color w:val="000000" w:themeColor="text1"/>
                        </w:rPr>
                        <w:t>Trafficking</w:t>
                      </w:r>
                      <w:proofErr w:type="gramEnd"/>
                      <w:r w:rsidRPr="00FB52A6">
                        <w:rPr>
                          <w:rFonts w:ascii="Arial" w:hAnsi="Arial" w:cs="Arial"/>
                          <w:color w:val="000000" w:themeColor="text1"/>
                        </w:rPr>
                        <w:t xml:space="preserve"> and exploitation of any kind</w:t>
                      </w:r>
                    </w:p>
                    <w:p w14:paraId="79862740"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Adults with safeguarding information coded on their record such as ‘Adult Safeguarding Concern’</w:t>
                      </w:r>
                    </w:p>
                    <w:p w14:paraId="2A9CB21F"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Known perpetrators of abuse</w:t>
                      </w:r>
                    </w:p>
                    <w:p w14:paraId="586A0A14"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learning disabilities</w:t>
                      </w:r>
                    </w:p>
                    <w:p w14:paraId="771191A8"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autism</w:t>
                      </w:r>
                    </w:p>
                    <w:p w14:paraId="780DC58D"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 xml:space="preserve">Those with dementia </w:t>
                      </w:r>
                    </w:p>
                    <w:p w14:paraId="4360A53D"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Asylum Seekers and those whose immigration status is uncertain</w:t>
                      </w:r>
                    </w:p>
                    <w:p w14:paraId="6DAFE81A" w14:textId="77777777" w:rsidR="001F6B17" w:rsidRPr="005155A0"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Those with serious mental health conditions</w:t>
                      </w:r>
                    </w:p>
                    <w:p w14:paraId="10683093"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Pr>
                          <w:rFonts w:ascii="Arial" w:hAnsi="Arial" w:cs="Arial"/>
                          <w:color w:val="000000" w:themeColor="text1"/>
                        </w:rPr>
                        <w:t>Those with post-traumatic stress disorder</w:t>
                      </w:r>
                    </w:p>
                    <w:p w14:paraId="081C2616" w14:textId="77777777" w:rsidR="001F6B17" w:rsidRPr="00FB52A6" w:rsidRDefault="001F6B17" w:rsidP="00650684">
                      <w:pPr>
                        <w:numPr>
                          <w:ilvl w:val="0"/>
                          <w:numId w:val="2"/>
                        </w:numPr>
                        <w:spacing w:before="60" w:after="0" w:line="288" w:lineRule="auto"/>
                        <w:ind w:left="425" w:hanging="357"/>
                        <w:rPr>
                          <w:rFonts w:ascii="Arial" w:hAnsi="Arial" w:cs="Arial"/>
                          <w:color w:val="000000" w:themeColor="text1"/>
                        </w:rPr>
                      </w:pPr>
                      <w:r w:rsidRPr="00FB52A6">
                        <w:rPr>
                          <w:rFonts w:ascii="Arial" w:hAnsi="Arial" w:cs="Arial"/>
                          <w:color w:val="000000" w:themeColor="text1"/>
                        </w:rPr>
                        <w:t>Other vulnerable groups including those who are homeless</w:t>
                      </w:r>
                      <w:r>
                        <w:rPr>
                          <w:rFonts w:ascii="Arial" w:hAnsi="Arial" w:cs="Arial"/>
                          <w:color w:val="000000" w:themeColor="text1"/>
                        </w:rPr>
                        <w:t xml:space="preserve"> and</w:t>
                      </w:r>
                      <w:r w:rsidRPr="00FB52A6">
                        <w:rPr>
                          <w:rFonts w:ascii="Arial" w:hAnsi="Arial" w:cs="Arial"/>
                          <w:color w:val="000000" w:themeColor="text1"/>
                        </w:rPr>
                        <w:t xml:space="preserve"> those with substance misuse issues</w:t>
                      </w:r>
                    </w:p>
                    <w:p w14:paraId="3AEDD3B0" w14:textId="77777777" w:rsidR="001F6B17" w:rsidRPr="00FB52A6" w:rsidRDefault="001F6B17" w:rsidP="001F6B17">
                      <w:pPr>
                        <w:numPr>
                          <w:ilvl w:val="0"/>
                          <w:numId w:val="2"/>
                        </w:numPr>
                        <w:spacing w:before="120" w:after="0" w:line="288" w:lineRule="auto"/>
                        <w:ind w:left="426"/>
                        <w:rPr>
                          <w:rFonts w:ascii="Arial" w:hAnsi="Arial" w:cs="Arial"/>
                          <w:color w:val="000000" w:themeColor="text1"/>
                        </w:rPr>
                      </w:pPr>
                      <w:r w:rsidRPr="00FB52A6">
                        <w:rPr>
                          <w:rFonts w:ascii="Arial" w:hAnsi="Arial" w:cs="Arial"/>
                          <w:color w:val="000000" w:themeColor="text1"/>
                        </w:rPr>
                        <w:t>Prisoners, including those who are about to/have just gone into prison, and those who have come out of prison.</w:t>
                      </w:r>
                    </w:p>
                    <w:p w14:paraId="50DEDB88" w14:textId="3A0C709B" w:rsidR="001F6B17" w:rsidRPr="003C05CE" w:rsidRDefault="001F6B17" w:rsidP="001F6B17">
                      <w:pPr>
                        <w:numPr>
                          <w:ilvl w:val="0"/>
                          <w:numId w:val="2"/>
                        </w:numPr>
                        <w:spacing w:before="120" w:after="0" w:line="288" w:lineRule="auto"/>
                        <w:ind w:left="426"/>
                        <w:rPr>
                          <w:rFonts w:ascii="Arial" w:hAnsi="Arial" w:cs="Arial"/>
                          <w:color w:val="000000" w:themeColor="text1"/>
                        </w:rPr>
                      </w:pPr>
                      <w:r w:rsidRPr="00FB52A6">
                        <w:rPr>
                          <w:rFonts w:ascii="Arial" w:hAnsi="Arial" w:cs="Arial"/>
                          <w:color w:val="000000" w:themeColor="text1"/>
                        </w:rPr>
                        <w:t xml:space="preserve">Patients who are blind/visually impaired, who have poor literacy, who use different languages other than English, who communicate in different ways, who have other accessibility issues such as dyslexia and </w:t>
                      </w:r>
                      <w:r w:rsidR="00264091">
                        <w:rPr>
                          <w:rFonts w:ascii="Arial" w:hAnsi="Arial" w:cs="Arial"/>
                          <w:color w:val="000000" w:themeColor="text1"/>
                        </w:rPr>
                        <w:t>attention deficit hyperactivity disorder</w:t>
                      </w:r>
                      <w:r>
                        <w:rPr>
                          <w:rFonts w:ascii="Arial" w:hAnsi="Arial" w:cs="Arial"/>
                          <w:color w:val="000000" w:themeColor="text1"/>
                        </w:rPr>
                        <w:t xml:space="preserve"> </w:t>
                      </w:r>
                    </w:p>
                  </w:txbxContent>
                </v:textbox>
                <w10:anchorlock/>
              </v:shape>
            </w:pict>
          </mc:Fallback>
        </mc:AlternateContent>
      </w:r>
    </w:p>
    <w:p w14:paraId="6CB58065" w14:textId="77777777" w:rsidR="00B13936" w:rsidRPr="00753442" w:rsidRDefault="00B13936" w:rsidP="00753442">
      <w:pPr>
        <w:pStyle w:val="Body"/>
        <w:spacing w:before="120" w:line="288" w:lineRule="auto"/>
        <w:rPr>
          <w:rFonts w:ascii="Arial" w:hAnsi="Arial" w:cs="Arial"/>
          <w:b/>
          <w:bCs/>
          <w:color w:val="000000" w:themeColor="text1"/>
        </w:rPr>
      </w:pPr>
    </w:p>
    <w:p w14:paraId="5FAEADC9" w14:textId="3392415C" w:rsidR="001F6B17" w:rsidRPr="00753442" w:rsidRDefault="5D9DD406" w:rsidP="00753442">
      <w:pPr>
        <w:pStyle w:val="Body"/>
        <w:spacing w:before="120" w:line="288" w:lineRule="auto"/>
        <w:rPr>
          <w:rFonts w:ascii="Lato" w:eastAsiaTheme="minorEastAsia" w:hAnsi="Lato" w:cstheme="minorBidi"/>
          <w:color w:val="000000" w:themeColor="text1"/>
          <w:sz w:val="32"/>
          <w:szCs w:val="32"/>
        </w:rPr>
      </w:pPr>
      <w:r w:rsidRPr="00753442">
        <w:rPr>
          <w:rFonts w:ascii="Lato" w:hAnsi="Lato" w:cs="Arial"/>
          <w:color w:val="000000" w:themeColor="text1"/>
          <w:sz w:val="32"/>
          <w:szCs w:val="32"/>
        </w:rPr>
        <w:lastRenderedPageBreak/>
        <w:t>Safeguarding information</w:t>
      </w:r>
    </w:p>
    <w:p w14:paraId="57AD5F71" w14:textId="1AED8FEE" w:rsidR="00800DC2" w:rsidRDefault="5D9DD406" w:rsidP="001F6B17">
      <w:pPr>
        <w:pStyle w:val="Body"/>
        <w:spacing w:before="120" w:line="288" w:lineRule="auto"/>
        <w:rPr>
          <w:rFonts w:ascii="Arial" w:hAnsi="Arial" w:cs="Arial"/>
        </w:rPr>
      </w:pPr>
      <w:r w:rsidRPr="0D40289F">
        <w:rPr>
          <w:rFonts w:ascii="Arial" w:hAnsi="Arial" w:cs="Arial"/>
        </w:rPr>
        <w:t xml:space="preserve">In England, primary care records hold a vast, and increasing, amount of safeguarding information.  This information comes from personal disclosures by patients of their own experience of abuse and from </w:t>
      </w:r>
      <w:proofErr w:type="spellStart"/>
      <w:r w:rsidRPr="0D40289F">
        <w:rPr>
          <w:rFonts w:ascii="Arial" w:hAnsi="Arial" w:cs="Arial"/>
        </w:rPr>
        <w:t>organisations</w:t>
      </w:r>
      <w:proofErr w:type="spellEnd"/>
      <w:r w:rsidRPr="0D40289F">
        <w:rPr>
          <w:rFonts w:ascii="Arial" w:hAnsi="Arial" w:cs="Arial"/>
        </w:rPr>
        <w:t xml:space="preserve"> and sectors such as the police, social </w:t>
      </w:r>
      <w:proofErr w:type="gramStart"/>
      <w:r w:rsidRPr="0D40289F">
        <w:rPr>
          <w:rFonts w:ascii="Arial" w:hAnsi="Arial" w:cs="Arial"/>
        </w:rPr>
        <w:t>care</w:t>
      </w:r>
      <w:proofErr w:type="gramEnd"/>
      <w:r w:rsidRPr="0D40289F">
        <w:rPr>
          <w:rFonts w:ascii="Arial" w:hAnsi="Arial" w:cs="Arial"/>
        </w:rPr>
        <w:t xml:space="preserve"> and education.  Records </w:t>
      </w:r>
      <w:r w:rsidR="00B13936" w:rsidRPr="0D40289F">
        <w:rPr>
          <w:rFonts w:ascii="Arial" w:hAnsi="Arial" w:cs="Arial"/>
        </w:rPr>
        <w:t>contain</w:t>
      </w:r>
      <w:r w:rsidRPr="0D40289F">
        <w:rPr>
          <w:rFonts w:ascii="Arial" w:hAnsi="Arial" w:cs="Arial"/>
        </w:rPr>
        <w:t xml:space="preserve"> information about mental health, contraception, sexual health </w:t>
      </w:r>
      <w:r w:rsidR="00B13936" w:rsidRPr="0D40289F">
        <w:rPr>
          <w:rFonts w:ascii="Arial" w:hAnsi="Arial" w:cs="Arial"/>
        </w:rPr>
        <w:t>(</w:t>
      </w:r>
      <w:r w:rsidRPr="0D40289F">
        <w:rPr>
          <w:rFonts w:ascii="Arial" w:hAnsi="Arial" w:cs="Arial"/>
        </w:rPr>
        <w:t>including HIV</w:t>
      </w:r>
      <w:r w:rsidR="00B13936" w:rsidRPr="0D40289F">
        <w:rPr>
          <w:rFonts w:ascii="Arial" w:hAnsi="Arial" w:cs="Arial"/>
        </w:rPr>
        <w:t>),</w:t>
      </w:r>
      <w:r w:rsidRPr="0D40289F">
        <w:rPr>
          <w:rFonts w:ascii="Arial" w:hAnsi="Arial" w:cs="Arial"/>
        </w:rPr>
        <w:t xml:space="preserve"> pregnancy, </w:t>
      </w:r>
      <w:r w:rsidR="00B13936" w:rsidRPr="0D40289F">
        <w:rPr>
          <w:rFonts w:ascii="Arial" w:hAnsi="Arial" w:cs="Arial"/>
        </w:rPr>
        <w:t>termination,</w:t>
      </w:r>
      <w:r w:rsidRPr="0D40289F">
        <w:rPr>
          <w:rFonts w:ascii="Arial" w:hAnsi="Arial" w:cs="Arial"/>
        </w:rPr>
        <w:t xml:space="preserve"> and gender identity, which could be dangerous in the</w:t>
      </w:r>
      <w:r w:rsidR="00E7570C" w:rsidRPr="0D40289F">
        <w:rPr>
          <w:rFonts w:ascii="Arial" w:hAnsi="Arial" w:cs="Arial"/>
        </w:rPr>
        <w:t xml:space="preserve"> </w:t>
      </w:r>
      <w:r w:rsidRPr="0D40289F">
        <w:rPr>
          <w:rFonts w:ascii="Arial" w:hAnsi="Arial" w:cs="Arial"/>
        </w:rPr>
        <w:t>hands of an abuser.</w:t>
      </w:r>
      <w:r w:rsidR="0047503B" w:rsidRPr="0D40289F">
        <w:rPr>
          <w:rFonts w:ascii="Arial" w:hAnsi="Arial" w:cs="Arial"/>
        </w:rPr>
        <w:t xml:space="preserve"> </w:t>
      </w:r>
      <w:r w:rsidR="00B13936" w:rsidRPr="0D40289F">
        <w:rPr>
          <w:rFonts w:ascii="Arial" w:hAnsi="Arial" w:cs="Arial"/>
        </w:rPr>
        <w:t xml:space="preserve"> </w:t>
      </w:r>
      <w:r w:rsidRPr="0D40289F">
        <w:rPr>
          <w:rFonts w:ascii="Arial" w:hAnsi="Arial" w:cs="Arial"/>
        </w:rPr>
        <w:t xml:space="preserve">There can also be significant amounts of confidential third-party information related to safeguarding issues, </w:t>
      </w:r>
      <w:proofErr w:type="gramStart"/>
      <w:r w:rsidR="00B13936" w:rsidRPr="0D40289F">
        <w:rPr>
          <w:rFonts w:ascii="Arial" w:hAnsi="Arial" w:cs="Arial"/>
        </w:rPr>
        <w:t>e.g.</w:t>
      </w:r>
      <w:proofErr w:type="gramEnd"/>
      <w:r w:rsidR="0047503B" w:rsidRPr="0D40289F">
        <w:rPr>
          <w:rFonts w:ascii="Arial" w:hAnsi="Arial" w:cs="Arial"/>
        </w:rPr>
        <w:t xml:space="preserve"> </w:t>
      </w:r>
      <w:r w:rsidRPr="0D40289F">
        <w:rPr>
          <w:rFonts w:ascii="Arial" w:hAnsi="Arial" w:cs="Arial"/>
        </w:rPr>
        <w:t>perpetrators’ records.</w:t>
      </w:r>
      <w:bookmarkStart w:id="0" w:name="_Hlk96199136"/>
    </w:p>
    <w:p w14:paraId="5E41E9D8" w14:textId="79997E15" w:rsidR="001F6B17" w:rsidRDefault="00800DC2" w:rsidP="001F6B17">
      <w:pPr>
        <w:pStyle w:val="Body"/>
        <w:spacing w:before="120" w:line="288"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0" wp14:anchorId="0D7F7463" wp14:editId="6D090F37">
                <wp:simplePos x="0" y="0"/>
                <wp:positionH relativeFrom="column">
                  <wp:posOffset>21590</wp:posOffset>
                </wp:positionH>
                <wp:positionV relativeFrom="page">
                  <wp:posOffset>3696970</wp:posOffset>
                </wp:positionV>
                <wp:extent cx="5727065" cy="5835650"/>
                <wp:effectExtent l="12700" t="12700" r="13335" b="19050"/>
                <wp:wrapTopAndBottom/>
                <wp:docPr id="1" name="Text Box 1"/>
                <wp:cNvGraphicFramePr/>
                <a:graphic xmlns:a="http://schemas.openxmlformats.org/drawingml/2006/main">
                  <a:graphicData uri="http://schemas.microsoft.com/office/word/2010/wordprocessingShape">
                    <wps:wsp>
                      <wps:cNvSpPr txBox="1"/>
                      <wps:spPr>
                        <a:xfrm>
                          <a:off x="0" y="0"/>
                          <a:ext cx="5727065" cy="5835650"/>
                        </a:xfrm>
                        <a:prstGeom prst="rect">
                          <a:avLst/>
                        </a:prstGeom>
                        <a:solidFill>
                          <a:schemeClr val="accent1">
                            <a:lumMod val="20000"/>
                            <a:lumOff val="80000"/>
                          </a:schemeClr>
                        </a:solidFill>
                        <a:ln w="25400">
                          <a:solidFill>
                            <a:schemeClr val="accent1"/>
                          </a:solidFill>
                        </a:ln>
                      </wps:spPr>
                      <wps:txbx>
                        <w:txbxContent>
                          <w:p w14:paraId="4E551956" w14:textId="18CA28CF" w:rsidR="00A102C5" w:rsidRPr="00800DC2" w:rsidRDefault="00486FC8" w:rsidP="009F70FD">
                            <w:pPr>
                              <w:pStyle w:val="Body"/>
                              <w:spacing w:before="120" w:line="288" w:lineRule="auto"/>
                              <w:jc w:val="center"/>
                              <w:rPr>
                                <w:rFonts w:ascii="Lato" w:hAnsi="Lato" w:cs="Arial"/>
                                <w:b/>
                                <w:bCs/>
                                <w:color w:val="4F81BD" w:themeColor="accent1"/>
                                <w:sz w:val="32"/>
                                <w:szCs w:val="32"/>
                              </w:rPr>
                            </w:pPr>
                            <w:r w:rsidRPr="00800DC2">
                              <w:rPr>
                                <w:rFonts w:ascii="Lato" w:hAnsi="Lato" w:cs="Arial"/>
                                <w:b/>
                                <w:bCs/>
                                <w:color w:val="4F81BD" w:themeColor="accent1"/>
                                <w:sz w:val="32"/>
                                <w:szCs w:val="32"/>
                              </w:rPr>
                              <w:t xml:space="preserve">Box 2: </w:t>
                            </w:r>
                            <w:r w:rsidR="00A102C5" w:rsidRPr="00800DC2">
                              <w:rPr>
                                <w:rFonts w:ascii="Lato" w:hAnsi="Lato" w:cs="Arial"/>
                                <w:b/>
                                <w:bCs/>
                                <w:color w:val="4F81BD" w:themeColor="accent1"/>
                                <w:sz w:val="32"/>
                                <w:szCs w:val="32"/>
                              </w:rPr>
                              <w:t xml:space="preserve">Prevalence of </w:t>
                            </w:r>
                            <w:r w:rsidR="0041435A" w:rsidRPr="00800DC2">
                              <w:rPr>
                                <w:rFonts w:ascii="Lato" w:hAnsi="Lato" w:cs="Arial"/>
                                <w:b/>
                                <w:bCs/>
                                <w:color w:val="4F81BD" w:themeColor="accent1"/>
                                <w:sz w:val="32"/>
                                <w:szCs w:val="32"/>
                              </w:rPr>
                              <w:t>domestic</w:t>
                            </w:r>
                            <w:r w:rsidR="00A102C5" w:rsidRPr="00800DC2">
                              <w:rPr>
                                <w:rFonts w:ascii="Lato" w:hAnsi="Lato" w:cs="Arial"/>
                                <w:b/>
                                <w:bCs/>
                                <w:color w:val="4F81BD" w:themeColor="accent1"/>
                                <w:sz w:val="32"/>
                                <w:szCs w:val="32"/>
                              </w:rPr>
                              <w:t xml:space="preserve"> abuse</w:t>
                            </w:r>
                          </w:p>
                          <w:p w14:paraId="519FCD21" w14:textId="77777777" w:rsidR="00800DC2" w:rsidRDefault="00800DC2" w:rsidP="009F70FD">
                            <w:pPr>
                              <w:spacing w:before="120" w:after="0" w:line="288" w:lineRule="auto"/>
                              <w:ind w:left="357"/>
                              <w:rPr>
                                <w:rFonts w:ascii="Arial" w:eastAsia="Times New Roman" w:hAnsi="Arial" w:cs="Arial"/>
                                <w:color w:val="000000" w:themeColor="text1"/>
                                <w:lang w:eastAsia="en-GB"/>
                              </w:rPr>
                            </w:pPr>
                          </w:p>
                          <w:p w14:paraId="3BDD156B" w14:textId="1856B664" w:rsidR="00E1577B" w:rsidRDefault="00E1577B" w:rsidP="009F70FD">
                            <w:pPr>
                              <w:spacing w:before="120" w:after="0" w:line="288" w:lineRule="auto"/>
                              <w:ind w:left="357"/>
                              <w:rPr>
                                <w:rFonts w:ascii="Arial" w:eastAsia="Times New Roman" w:hAnsi="Arial" w:cs="Arial"/>
                                <w:color w:val="000000" w:themeColor="text1"/>
                                <w:lang w:eastAsia="en-GB"/>
                              </w:rPr>
                            </w:pPr>
                            <w:r>
                              <w:rPr>
                                <w:rFonts w:ascii="Arial" w:eastAsia="Times New Roman" w:hAnsi="Arial" w:cs="Arial"/>
                                <w:color w:val="000000" w:themeColor="text1"/>
                                <w:lang w:eastAsia="en-GB"/>
                              </w:rPr>
                              <w:t>These are the latest figures available for England and Wales in August 2022.</w:t>
                            </w:r>
                          </w:p>
                          <w:p w14:paraId="55F41D50" w14:textId="05557E5B" w:rsidR="009F70FD" w:rsidRPr="009F70FD" w:rsidRDefault="009F70FD" w:rsidP="009F70FD">
                            <w:pPr>
                              <w:spacing w:before="120" w:after="0" w:line="288" w:lineRule="auto"/>
                              <w:ind w:left="357"/>
                              <w:rPr>
                                <w:rFonts w:ascii="Arial" w:eastAsia="Times New Roman" w:hAnsi="Arial" w:cs="Arial"/>
                                <w:color w:val="000000" w:themeColor="text1"/>
                                <w:lang w:eastAsia="en-GB"/>
                              </w:rPr>
                            </w:pPr>
                            <w:r w:rsidRPr="009F70FD">
                              <w:rPr>
                                <w:rFonts w:ascii="Arial" w:eastAsia="Times New Roman" w:hAnsi="Arial" w:cs="Arial"/>
                                <w:color w:val="000000" w:themeColor="text1"/>
                                <w:lang w:eastAsia="en-GB"/>
                              </w:rPr>
                              <w:t xml:space="preserve">The police recorded a total of </w:t>
                            </w:r>
                            <w:r w:rsidR="007554DF">
                              <w:rPr>
                                <w:rFonts w:ascii="Arial" w:eastAsia="Times New Roman" w:hAnsi="Arial" w:cs="Arial"/>
                                <w:color w:val="000000" w:themeColor="text1"/>
                                <w:lang w:eastAsia="en-GB"/>
                              </w:rPr>
                              <w:t>909,504</w:t>
                            </w:r>
                            <w:r w:rsidRPr="009F70FD">
                              <w:rPr>
                                <w:rFonts w:ascii="Arial" w:eastAsia="Times New Roman" w:hAnsi="Arial" w:cs="Arial"/>
                                <w:color w:val="000000" w:themeColor="text1"/>
                                <w:lang w:eastAsia="en-GB"/>
                              </w:rPr>
                              <w:t xml:space="preserve"> domestic abuse-related incidents and crimes in England and Wales in the year ending March 202</w:t>
                            </w:r>
                            <w:r w:rsidR="007554DF">
                              <w:rPr>
                                <w:rFonts w:ascii="Arial" w:eastAsia="Times New Roman" w:hAnsi="Arial" w:cs="Arial"/>
                                <w:color w:val="000000" w:themeColor="text1"/>
                                <w:lang w:eastAsia="en-GB"/>
                              </w:rPr>
                              <w:t>2</w:t>
                            </w:r>
                            <w:r w:rsidRPr="009F70FD">
                              <w:rPr>
                                <w:rFonts w:ascii="Arial" w:eastAsia="Times New Roman" w:hAnsi="Arial" w:cs="Arial"/>
                                <w:color w:val="000000" w:themeColor="text1"/>
                                <w:lang w:eastAsia="en-GB"/>
                              </w:rPr>
                              <w:t>.</w:t>
                            </w:r>
                            <w:r w:rsidR="00DA042E">
                              <w:rPr>
                                <w:rFonts w:ascii="Arial" w:eastAsia="Times New Roman" w:hAnsi="Arial" w:cs="Arial"/>
                                <w:color w:val="000000" w:themeColor="text1"/>
                                <w:lang w:eastAsia="en-GB"/>
                              </w:rPr>
                              <w:t xml:space="preserve">  This represents an 8% increase from the previous year and a 12% increase from the year ending March 2022.</w:t>
                            </w:r>
                          </w:p>
                          <w:p w14:paraId="111576E8" w14:textId="77777777" w:rsidR="009F70FD" w:rsidRPr="009F70FD" w:rsidRDefault="009F70FD" w:rsidP="009F70FD">
                            <w:pPr>
                              <w:spacing w:before="120" w:after="0" w:line="288" w:lineRule="auto"/>
                              <w:ind w:left="357"/>
                              <w:rPr>
                                <w:rFonts w:ascii="Arial" w:eastAsia="Times New Roman" w:hAnsi="Arial" w:cs="Arial"/>
                                <w:color w:val="000000" w:themeColor="text1"/>
                                <w:lang w:eastAsia="en-GB"/>
                              </w:rPr>
                            </w:pPr>
                            <w:r w:rsidRPr="009F70FD">
                              <w:rPr>
                                <w:rFonts w:ascii="Arial" w:eastAsia="Times New Roman" w:hAnsi="Arial" w:cs="Arial"/>
                                <w:color w:val="000000" w:themeColor="text1"/>
                                <w:lang w:eastAsia="en-GB"/>
                              </w:rPr>
                              <w:t>Of these, 845,734 were recorded as domestic abuse-related crimes, an increase of 6% from the previous year, representing 18% of all offences recorded by the police in the year ending March 2021.</w:t>
                            </w:r>
                          </w:p>
                          <w:p w14:paraId="7F7F6AE2" w14:textId="575FEE73" w:rsidR="009F70FD" w:rsidRPr="009F70FD" w:rsidRDefault="009F70FD" w:rsidP="009F70FD">
                            <w:pPr>
                              <w:spacing w:before="120" w:after="0" w:line="288" w:lineRule="auto"/>
                              <w:ind w:left="357"/>
                              <w:rPr>
                                <w:rFonts w:ascii="Arial" w:eastAsia="Times New Roman" w:hAnsi="Arial" w:cs="Arial"/>
                                <w:color w:val="000000" w:themeColor="text1"/>
                                <w:lang w:eastAsia="en-GB"/>
                              </w:rPr>
                            </w:pPr>
                            <w:r w:rsidRPr="009F70FD">
                              <w:rPr>
                                <w:rFonts w:ascii="Arial" w:eastAsia="Times New Roman" w:hAnsi="Arial" w:cs="Arial"/>
                                <w:color w:val="000000" w:themeColor="text1"/>
                                <w:lang w:eastAsia="en-GB"/>
                              </w:rPr>
                              <w:t>Estimates from our most recent Crime Survey for England and Wales year ending March 202</w:t>
                            </w:r>
                            <w:r w:rsidR="00E7570C">
                              <w:rPr>
                                <w:rFonts w:ascii="Arial" w:eastAsia="Times New Roman" w:hAnsi="Arial" w:cs="Arial"/>
                                <w:color w:val="000000" w:themeColor="text1"/>
                                <w:lang w:eastAsia="en-GB"/>
                              </w:rPr>
                              <w:t>2</w:t>
                            </w:r>
                            <w:r w:rsidRPr="009F70FD">
                              <w:rPr>
                                <w:rFonts w:ascii="Arial" w:eastAsia="Times New Roman" w:hAnsi="Arial" w:cs="Arial"/>
                                <w:color w:val="000000" w:themeColor="text1"/>
                                <w:lang w:eastAsia="en-GB"/>
                              </w:rPr>
                              <w:t xml:space="preserve"> show 5.</w:t>
                            </w:r>
                            <w:r w:rsidR="00E7570C">
                              <w:rPr>
                                <w:rFonts w:ascii="Arial" w:eastAsia="Times New Roman" w:hAnsi="Arial" w:cs="Arial"/>
                                <w:color w:val="000000" w:themeColor="text1"/>
                                <w:lang w:eastAsia="en-GB"/>
                              </w:rPr>
                              <w:t>7</w:t>
                            </w:r>
                            <w:r w:rsidRPr="009F70FD">
                              <w:rPr>
                                <w:rFonts w:ascii="Arial" w:eastAsia="Times New Roman" w:hAnsi="Arial" w:cs="Arial"/>
                                <w:color w:val="000000" w:themeColor="text1"/>
                                <w:lang w:eastAsia="en-GB"/>
                              </w:rPr>
                              <w:t xml:space="preserve">% of adults aged 16 to </w:t>
                            </w:r>
                            <w:r w:rsidR="00E7570C">
                              <w:rPr>
                                <w:rFonts w:ascii="Arial" w:eastAsia="Times New Roman" w:hAnsi="Arial" w:cs="Arial"/>
                                <w:color w:val="000000" w:themeColor="text1"/>
                                <w:lang w:eastAsia="en-GB"/>
                              </w:rPr>
                              <w:t>59</w:t>
                            </w:r>
                            <w:r w:rsidRPr="009F70FD">
                              <w:rPr>
                                <w:rFonts w:ascii="Arial" w:eastAsia="Times New Roman" w:hAnsi="Arial" w:cs="Arial"/>
                                <w:color w:val="000000" w:themeColor="text1"/>
                                <w:lang w:eastAsia="en-GB"/>
                              </w:rPr>
                              <w:t xml:space="preserve"> years (2.3 million) experienced domestic abuse in the 12 months prior.</w:t>
                            </w:r>
                          </w:p>
                          <w:p w14:paraId="6C5ADDB9" w14:textId="3035357E" w:rsidR="00E1577B" w:rsidRPr="00E1577B" w:rsidRDefault="00E1577B" w:rsidP="00D41B26">
                            <w:pPr>
                              <w:spacing w:before="120" w:after="0" w:line="288" w:lineRule="auto"/>
                              <w:ind w:left="360"/>
                              <w:rPr>
                                <w:rFonts w:ascii="Arial" w:hAnsi="Arial" w:cs="Arial"/>
                                <w:color w:val="00B050"/>
                              </w:rPr>
                            </w:pPr>
                            <w:r w:rsidRPr="00E1577B">
                              <w:rPr>
                                <w:rFonts w:ascii="Arial" w:hAnsi="Arial" w:cs="Arial"/>
                                <w:color w:val="00B050"/>
                              </w:rPr>
                              <w:t>https://www.ons.gov.uk/peoplepopulationandcommunity/crimeandjustice/bulletins/domesticabuseinenglandandwalesoverview/november2021 (accessed 23 August 2022)</w:t>
                            </w:r>
                          </w:p>
                          <w:p w14:paraId="31B9DED2" w14:textId="10B0DEAA" w:rsidR="00A102C5" w:rsidRPr="004D04E3" w:rsidRDefault="00A102C5" w:rsidP="00D41B26">
                            <w:pPr>
                              <w:spacing w:before="120" w:after="0" w:line="288" w:lineRule="auto"/>
                              <w:ind w:left="360"/>
                              <w:rPr>
                                <w:rFonts w:ascii="Arial" w:hAnsi="Arial" w:cs="Arial"/>
                                <w:color w:val="000000" w:themeColor="text1"/>
                              </w:rPr>
                            </w:pPr>
                            <w:r w:rsidRPr="004D04E3">
                              <w:rPr>
                                <w:rFonts w:ascii="Arial" w:hAnsi="Arial" w:cs="Arial"/>
                                <w:color w:val="000000" w:themeColor="text1"/>
                              </w:rPr>
                              <w:t xml:space="preserve">In 2020, 10,613 potential victims of modern slavery were identified in the UK. </w:t>
                            </w:r>
                          </w:p>
                          <w:p w14:paraId="0332054E" w14:textId="283EC4A4" w:rsidR="00D41B26" w:rsidRPr="00E1577B" w:rsidRDefault="00E1577B" w:rsidP="00D41B26">
                            <w:pPr>
                              <w:spacing w:before="120" w:after="0" w:line="288" w:lineRule="auto"/>
                              <w:ind w:left="360"/>
                              <w:rPr>
                                <w:rFonts w:ascii="Arial" w:hAnsi="Arial" w:cs="Arial"/>
                                <w:color w:val="00B050"/>
                              </w:rPr>
                            </w:pPr>
                            <w:r w:rsidRPr="00E1577B">
                              <w:rPr>
                                <w:rFonts w:ascii="Arial" w:hAnsi="Arial" w:cs="Arial"/>
                                <w:color w:val="00B050"/>
                              </w:rPr>
                              <w:t>https://www.gov.uk/government/publications/2021-uk-annual-report-on-modern-slavery (accessed 23 August 2022)</w:t>
                            </w:r>
                          </w:p>
                          <w:p w14:paraId="7A2C2681" w14:textId="51DCD832" w:rsidR="0041435A" w:rsidRPr="004D04E3" w:rsidRDefault="00A102C5" w:rsidP="004D04E3">
                            <w:pPr>
                              <w:spacing w:before="120" w:after="0" w:line="288" w:lineRule="auto"/>
                              <w:ind w:left="357"/>
                              <w:rPr>
                                <w:rFonts w:ascii="Times New Roman" w:eastAsia="Times New Roman" w:hAnsi="Times New Roman" w:cs="Times New Roman"/>
                                <w:color w:val="000000" w:themeColor="text1"/>
                                <w:lang w:eastAsia="en-GB"/>
                              </w:rPr>
                            </w:pPr>
                            <w:r w:rsidRPr="004D04E3">
                              <w:rPr>
                                <w:rFonts w:ascii="Arial" w:hAnsi="Arial" w:cs="Arial"/>
                                <w:color w:val="000000" w:themeColor="text1"/>
                              </w:rPr>
                              <w:t xml:space="preserve">Year ending March 2021, there were 2,725 Honour Based Abuse-related offences recorded by Police in England and Wales. </w:t>
                            </w:r>
                            <w:r w:rsidR="00E1577B">
                              <w:rPr>
                                <w:rFonts w:ascii="Arial" w:hAnsi="Arial" w:cs="Arial"/>
                                <w:color w:val="000000" w:themeColor="text1"/>
                              </w:rPr>
                              <w:t xml:space="preserve"> This was an increase of 18% compared with the year ending March 2020.</w:t>
                            </w:r>
                            <w:r w:rsidR="0041435A" w:rsidRPr="004D04E3">
                              <w:rPr>
                                <w:rFonts w:ascii="Arial" w:hAnsi="Arial" w:cs="Arial"/>
                                <w:color w:val="000000" w:themeColor="text1"/>
                              </w:rPr>
                              <w:t xml:space="preserve"> </w:t>
                            </w:r>
                          </w:p>
                          <w:p w14:paraId="07F6FEF8" w14:textId="715DEA6B" w:rsidR="00A102C5" w:rsidRPr="00E1577B" w:rsidRDefault="00E1577B" w:rsidP="004D04E3">
                            <w:pPr>
                              <w:spacing w:before="120" w:after="0" w:line="288" w:lineRule="auto"/>
                              <w:ind w:left="360"/>
                              <w:rPr>
                                <w:rFonts w:ascii="Arial" w:hAnsi="Arial" w:cs="Arial"/>
                                <w:color w:val="00B050"/>
                              </w:rPr>
                            </w:pPr>
                            <w:r w:rsidRPr="00E1577B">
                              <w:rPr>
                                <w:rFonts w:ascii="Arial" w:hAnsi="Arial" w:cs="Arial"/>
                                <w:color w:val="00B050"/>
                              </w:rPr>
                              <w:t>https://www.gov.uk/government/statistics/statistics-on-so-called-honour-based-abuse-offences-england-and-wales-2020-to-2021/statistics-on-so-called-honour-based-abuse-offences-england-and-wales-2020-to-2021</w:t>
                            </w:r>
                            <w:r>
                              <w:rPr>
                                <w:rFonts w:ascii="Arial" w:hAnsi="Arial" w:cs="Arial"/>
                                <w:color w:val="00B050"/>
                              </w:rPr>
                              <w:t xml:space="preserve"> (accessed 23 August 2022)</w:t>
                            </w:r>
                          </w:p>
                        </w:txbxContent>
                      </wps:txbx>
                      <wps:bodyPr rot="0" spcFirstLastPara="0" vertOverflow="overflow" horzOverflow="overflow" vert="horz" wrap="square" lIns="0" tIns="7200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7463" id="Text Box 1" o:spid="_x0000_s1027" type="#_x0000_t202" style="position:absolute;margin-left:1.7pt;margin-top:291.1pt;width:450.95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" o:allowoverlap="f" fillcolor="#dbe5f1 [660]" strokecolor="#4f81bd [3204]" strokeweight="2pt">
                <v:textbox inset="0,2mm,5mm,3mm">
                  <w:txbxContent>
                    <w:p w14:paraId="4E551956" w14:textId="18CA28CF" w:rsidR="00A102C5" w:rsidRPr="00800DC2" w:rsidRDefault="00486FC8" w:rsidP="009F70FD">
                      <w:pPr>
                        <w:pStyle w:val="Body"/>
                        <w:spacing w:before="120" w:line="288" w:lineRule="auto"/>
                        <w:jc w:val="center"/>
                        <w:rPr>
                          <w:rFonts w:ascii="Lato" w:hAnsi="Lato" w:cs="Arial"/>
                          <w:b/>
                          <w:bCs/>
                          <w:color w:val="4F81BD" w:themeColor="accent1"/>
                          <w:sz w:val="32"/>
                          <w:szCs w:val="32"/>
                        </w:rPr>
                      </w:pPr>
                      <w:r w:rsidRPr="00800DC2">
                        <w:rPr>
                          <w:rFonts w:ascii="Lato" w:hAnsi="Lato" w:cs="Arial"/>
                          <w:b/>
                          <w:bCs/>
                          <w:color w:val="4F81BD" w:themeColor="accent1"/>
                          <w:sz w:val="32"/>
                          <w:szCs w:val="32"/>
                        </w:rPr>
                        <w:t xml:space="preserve">Box 2: </w:t>
                      </w:r>
                      <w:r w:rsidR="00A102C5" w:rsidRPr="00800DC2">
                        <w:rPr>
                          <w:rFonts w:ascii="Lato" w:hAnsi="Lato" w:cs="Arial"/>
                          <w:b/>
                          <w:bCs/>
                          <w:color w:val="4F81BD" w:themeColor="accent1"/>
                          <w:sz w:val="32"/>
                          <w:szCs w:val="32"/>
                        </w:rPr>
                        <w:t xml:space="preserve">Prevalence of </w:t>
                      </w:r>
                      <w:r w:rsidR="0041435A" w:rsidRPr="00800DC2">
                        <w:rPr>
                          <w:rFonts w:ascii="Lato" w:hAnsi="Lato" w:cs="Arial"/>
                          <w:b/>
                          <w:bCs/>
                          <w:color w:val="4F81BD" w:themeColor="accent1"/>
                          <w:sz w:val="32"/>
                          <w:szCs w:val="32"/>
                        </w:rPr>
                        <w:t>domestic</w:t>
                      </w:r>
                      <w:r w:rsidR="00A102C5" w:rsidRPr="00800DC2">
                        <w:rPr>
                          <w:rFonts w:ascii="Lato" w:hAnsi="Lato" w:cs="Arial"/>
                          <w:b/>
                          <w:bCs/>
                          <w:color w:val="4F81BD" w:themeColor="accent1"/>
                          <w:sz w:val="32"/>
                          <w:szCs w:val="32"/>
                        </w:rPr>
                        <w:t xml:space="preserve"> abuse</w:t>
                      </w:r>
                    </w:p>
                    <w:p w14:paraId="519FCD21" w14:textId="77777777" w:rsidR="00800DC2" w:rsidRDefault="00800DC2" w:rsidP="009F70FD">
                      <w:pPr>
                        <w:spacing w:before="120" w:after="0" w:line="288" w:lineRule="auto"/>
                        <w:ind w:left="357"/>
                        <w:rPr>
                          <w:rFonts w:ascii="Arial" w:eastAsia="Times New Roman" w:hAnsi="Arial" w:cs="Arial"/>
                          <w:color w:val="000000" w:themeColor="text1"/>
                          <w:lang w:eastAsia="en-GB"/>
                        </w:rPr>
                      </w:pPr>
                    </w:p>
                    <w:p w14:paraId="3BDD156B" w14:textId="1856B664" w:rsidR="00E1577B" w:rsidRDefault="00E1577B" w:rsidP="009F70FD">
                      <w:pPr>
                        <w:spacing w:before="120" w:after="0" w:line="288" w:lineRule="auto"/>
                        <w:ind w:left="357"/>
                        <w:rPr>
                          <w:rFonts w:ascii="Arial" w:eastAsia="Times New Roman" w:hAnsi="Arial" w:cs="Arial"/>
                          <w:color w:val="000000" w:themeColor="text1"/>
                          <w:lang w:eastAsia="en-GB"/>
                        </w:rPr>
                      </w:pPr>
                      <w:r>
                        <w:rPr>
                          <w:rFonts w:ascii="Arial" w:eastAsia="Times New Roman" w:hAnsi="Arial" w:cs="Arial"/>
                          <w:color w:val="000000" w:themeColor="text1"/>
                          <w:lang w:eastAsia="en-GB"/>
                        </w:rPr>
                        <w:t>These are the latest figures available for England and Wales in August 2022.</w:t>
                      </w:r>
                    </w:p>
                    <w:p w14:paraId="55F41D50" w14:textId="05557E5B" w:rsidR="009F70FD" w:rsidRPr="009F70FD" w:rsidRDefault="009F70FD" w:rsidP="009F70FD">
                      <w:pPr>
                        <w:spacing w:before="120" w:after="0" w:line="288" w:lineRule="auto"/>
                        <w:ind w:left="357"/>
                        <w:rPr>
                          <w:rFonts w:ascii="Arial" w:eastAsia="Times New Roman" w:hAnsi="Arial" w:cs="Arial"/>
                          <w:color w:val="000000" w:themeColor="text1"/>
                          <w:lang w:eastAsia="en-GB"/>
                        </w:rPr>
                      </w:pPr>
                      <w:r w:rsidRPr="009F70FD">
                        <w:rPr>
                          <w:rFonts w:ascii="Arial" w:eastAsia="Times New Roman" w:hAnsi="Arial" w:cs="Arial"/>
                          <w:color w:val="000000" w:themeColor="text1"/>
                          <w:lang w:eastAsia="en-GB"/>
                        </w:rPr>
                        <w:t xml:space="preserve">The police recorded a total of </w:t>
                      </w:r>
                      <w:r w:rsidR="007554DF">
                        <w:rPr>
                          <w:rFonts w:ascii="Arial" w:eastAsia="Times New Roman" w:hAnsi="Arial" w:cs="Arial"/>
                          <w:color w:val="000000" w:themeColor="text1"/>
                          <w:lang w:eastAsia="en-GB"/>
                        </w:rPr>
                        <w:t>909,504</w:t>
                      </w:r>
                      <w:r w:rsidRPr="009F70FD">
                        <w:rPr>
                          <w:rFonts w:ascii="Arial" w:eastAsia="Times New Roman" w:hAnsi="Arial" w:cs="Arial"/>
                          <w:color w:val="000000" w:themeColor="text1"/>
                          <w:lang w:eastAsia="en-GB"/>
                        </w:rPr>
                        <w:t xml:space="preserve"> domestic abuse-related incidents and crimes in England and Wales in the year ending March 202</w:t>
                      </w:r>
                      <w:r w:rsidR="007554DF">
                        <w:rPr>
                          <w:rFonts w:ascii="Arial" w:eastAsia="Times New Roman" w:hAnsi="Arial" w:cs="Arial"/>
                          <w:color w:val="000000" w:themeColor="text1"/>
                          <w:lang w:eastAsia="en-GB"/>
                        </w:rPr>
                        <w:t>2</w:t>
                      </w:r>
                      <w:r w:rsidRPr="009F70FD">
                        <w:rPr>
                          <w:rFonts w:ascii="Arial" w:eastAsia="Times New Roman" w:hAnsi="Arial" w:cs="Arial"/>
                          <w:color w:val="000000" w:themeColor="text1"/>
                          <w:lang w:eastAsia="en-GB"/>
                        </w:rPr>
                        <w:t>.</w:t>
                      </w:r>
                      <w:r w:rsidR="00DA042E">
                        <w:rPr>
                          <w:rFonts w:ascii="Arial" w:eastAsia="Times New Roman" w:hAnsi="Arial" w:cs="Arial"/>
                          <w:color w:val="000000" w:themeColor="text1"/>
                          <w:lang w:eastAsia="en-GB"/>
                        </w:rPr>
                        <w:t xml:space="preserve">  This represents an 8% increase from the previous year and a 12% increase from the year ending March 2022.</w:t>
                      </w:r>
                    </w:p>
                    <w:p w14:paraId="111576E8" w14:textId="77777777" w:rsidR="009F70FD" w:rsidRPr="009F70FD" w:rsidRDefault="009F70FD" w:rsidP="009F70FD">
                      <w:pPr>
                        <w:spacing w:before="120" w:after="0" w:line="288" w:lineRule="auto"/>
                        <w:ind w:left="357"/>
                        <w:rPr>
                          <w:rFonts w:ascii="Arial" w:eastAsia="Times New Roman" w:hAnsi="Arial" w:cs="Arial"/>
                          <w:color w:val="000000" w:themeColor="text1"/>
                          <w:lang w:eastAsia="en-GB"/>
                        </w:rPr>
                      </w:pPr>
                      <w:r w:rsidRPr="009F70FD">
                        <w:rPr>
                          <w:rFonts w:ascii="Arial" w:eastAsia="Times New Roman" w:hAnsi="Arial" w:cs="Arial"/>
                          <w:color w:val="000000" w:themeColor="text1"/>
                          <w:lang w:eastAsia="en-GB"/>
                        </w:rPr>
                        <w:t>Of these, 845,734 were recorded as domestic abuse-related crimes, an increase of 6% from the previous year, representing 18% of all offences recorded by the police in the year ending March 2021.</w:t>
                      </w:r>
                    </w:p>
                    <w:p w14:paraId="7F7F6AE2" w14:textId="575FEE73" w:rsidR="009F70FD" w:rsidRPr="009F70FD" w:rsidRDefault="009F70FD" w:rsidP="009F70FD">
                      <w:pPr>
                        <w:spacing w:before="120" w:after="0" w:line="288" w:lineRule="auto"/>
                        <w:ind w:left="357"/>
                        <w:rPr>
                          <w:rFonts w:ascii="Arial" w:eastAsia="Times New Roman" w:hAnsi="Arial" w:cs="Arial"/>
                          <w:color w:val="000000" w:themeColor="text1"/>
                          <w:lang w:eastAsia="en-GB"/>
                        </w:rPr>
                      </w:pPr>
                      <w:r w:rsidRPr="009F70FD">
                        <w:rPr>
                          <w:rFonts w:ascii="Arial" w:eastAsia="Times New Roman" w:hAnsi="Arial" w:cs="Arial"/>
                          <w:color w:val="000000" w:themeColor="text1"/>
                          <w:lang w:eastAsia="en-GB"/>
                        </w:rPr>
                        <w:t>Estimates from our most recent Crime Survey for England and Wales year ending March 202</w:t>
                      </w:r>
                      <w:r w:rsidR="00E7570C">
                        <w:rPr>
                          <w:rFonts w:ascii="Arial" w:eastAsia="Times New Roman" w:hAnsi="Arial" w:cs="Arial"/>
                          <w:color w:val="000000" w:themeColor="text1"/>
                          <w:lang w:eastAsia="en-GB"/>
                        </w:rPr>
                        <w:t>2</w:t>
                      </w:r>
                      <w:r w:rsidRPr="009F70FD">
                        <w:rPr>
                          <w:rFonts w:ascii="Arial" w:eastAsia="Times New Roman" w:hAnsi="Arial" w:cs="Arial"/>
                          <w:color w:val="000000" w:themeColor="text1"/>
                          <w:lang w:eastAsia="en-GB"/>
                        </w:rPr>
                        <w:t xml:space="preserve"> show 5.</w:t>
                      </w:r>
                      <w:r w:rsidR="00E7570C">
                        <w:rPr>
                          <w:rFonts w:ascii="Arial" w:eastAsia="Times New Roman" w:hAnsi="Arial" w:cs="Arial"/>
                          <w:color w:val="000000" w:themeColor="text1"/>
                          <w:lang w:eastAsia="en-GB"/>
                        </w:rPr>
                        <w:t>7</w:t>
                      </w:r>
                      <w:r w:rsidRPr="009F70FD">
                        <w:rPr>
                          <w:rFonts w:ascii="Arial" w:eastAsia="Times New Roman" w:hAnsi="Arial" w:cs="Arial"/>
                          <w:color w:val="000000" w:themeColor="text1"/>
                          <w:lang w:eastAsia="en-GB"/>
                        </w:rPr>
                        <w:t xml:space="preserve">% of adults aged 16 to </w:t>
                      </w:r>
                      <w:r w:rsidR="00E7570C">
                        <w:rPr>
                          <w:rFonts w:ascii="Arial" w:eastAsia="Times New Roman" w:hAnsi="Arial" w:cs="Arial"/>
                          <w:color w:val="000000" w:themeColor="text1"/>
                          <w:lang w:eastAsia="en-GB"/>
                        </w:rPr>
                        <w:t>59</w:t>
                      </w:r>
                      <w:r w:rsidRPr="009F70FD">
                        <w:rPr>
                          <w:rFonts w:ascii="Arial" w:eastAsia="Times New Roman" w:hAnsi="Arial" w:cs="Arial"/>
                          <w:color w:val="000000" w:themeColor="text1"/>
                          <w:lang w:eastAsia="en-GB"/>
                        </w:rPr>
                        <w:t xml:space="preserve"> years (2.3 million) experienced domestic abuse in the 12 months prior.</w:t>
                      </w:r>
                    </w:p>
                    <w:p w14:paraId="6C5ADDB9" w14:textId="3035357E" w:rsidR="00E1577B" w:rsidRPr="00E1577B" w:rsidRDefault="00E1577B" w:rsidP="00D41B26">
                      <w:pPr>
                        <w:spacing w:before="120" w:after="0" w:line="288" w:lineRule="auto"/>
                        <w:ind w:left="360"/>
                        <w:rPr>
                          <w:rFonts w:ascii="Arial" w:hAnsi="Arial" w:cs="Arial"/>
                          <w:color w:val="00B050"/>
                        </w:rPr>
                      </w:pPr>
                      <w:r w:rsidRPr="00E1577B">
                        <w:rPr>
                          <w:rFonts w:ascii="Arial" w:hAnsi="Arial" w:cs="Arial"/>
                          <w:color w:val="00B050"/>
                        </w:rPr>
                        <w:t>https://www.ons.gov.uk/peoplepopulationandcommunity/crimeandjustice/bulletins/domesticabuseinenglandandwalesoverview/november2021 (accessed 23 August 2022)</w:t>
                      </w:r>
                    </w:p>
                    <w:p w14:paraId="31B9DED2" w14:textId="10B0DEAA" w:rsidR="00A102C5" w:rsidRPr="004D04E3" w:rsidRDefault="00A102C5" w:rsidP="00D41B26">
                      <w:pPr>
                        <w:spacing w:before="120" w:after="0" w:line="288" w:lineRule="auto"/>
                        <w:ind w:left="360"/>
                        <w:rPr>
                          <w:rFonts w:ascii="Arial" w:hAnsi="Arial" w:cs="Arial"/>
                          <w:color w:val="000000" w:themeColor="text1"/>
                        </w:rPr>
                      </w:pPr>
                      <w:r w:rsidRPr="004D04E3">
                        <w:rPr>
                          <w:rFonts w:ascii="Arial" w:hAnsi="Arial" w:cs="Arial"/>
                          <w:color w:val="000000" w:themeColor="text1"/>
                        </w:rPr>
                        <w:t xml:space="preserve">In 2020, 10,613 potential victims of modern slavery were identified in the UK. </w:t>
                      </w:r>
                    </w:p>
                    <w:p w14:paraId="0332054E" w14:textId="283EC4A4" w:rsidR="00D41B26" w:rsidRPr="00E1577B" w:rsidRDefault="00E1577B" w:rsidP="00D41B26">
                      <w:pPr>
                        <w:spacing w:before="120" w:after="0" w:line="288" w:lineRule="auto"/>
                        <w:ind w:left="360"/>
                        <w:rPr>
                          <w:rFonts w:ascii="Arial" w:hAnsi="Arial" w:cs="Arial"/>
                          <w:color w:val="00B050"/>
                        </w:rPr>
                      </w:pPr>
                      <w:r w:rsidRPr="00E1577B">
                        <w:rPr>
                          <w:rFonts w:ascii="Arial" w:hAnsi="Arial" w:cs="Arial"/>
                          <w:color w:val="00B050"/>
                        </w:rPr>
                        <w:t>https://www.gov.uk/government/publications/2021-uk-annual-report-on-modern-slavery (accessed 23 August 2022)</w:t>
                      </w:r>
                    </w:p>
                    <w:p w14:paraId="7A2C2681" w14:textId="51DCD832" w:rsidR="0041435A" w:rsidRPr="004D04E3" w:rsidRDefault="00A102C5" w:rsidP="004D04E3">
                      <w:pPr>
                        <w:spacing w:before="120" w:after="0" w:line="288" w:lineRule="auto"/>
                        <w:ind w:left="357"/>
                        <w:rPr>
                          <w:rFonts w:ascii="Times New Roman" w:eastAsia="Times New Roman" w:hAnsi="Times New Roman" w:cs="Times New Roman"/>
                          <w:color w:val="000000" w:themeColor="text1"/>
                          <w:lang w:eastAsia="en-GB"/>
                        </w:rPr>
                      </w:pPr>
                      <w:r w:rsidRPr="004D04E3">
                        <w:rPr>
                          <w:rFonts w:ascii="Arial" w:hAnsi="Arial" w:cs="Arial"/>
                          <w:color w:val="000000" w:themeColor="text1"/>
                        </w:rPr>
                        <w:t xml:space="preserve">Year ending March 2021, there were 2,725 Honour Based Abuse-related offences recorded by Police in England and Wales. </w:t>
                      </w:r>
                      <w:r w:rsidR="00E1577B">
                        <w:rPr>
                          <w:rFonts w:ascii="Arial" w:hAnsi="Arial" w:cs="Arial"/>
                          <w:color w:val="000000" w:themeColor="text1"/>
                        </w:rPr>
                        <w:t xml:space="preserve"> This was an increase of 18% compared with the year ending March 2020.</w:t>
                      </w:r>
                      <w:r w:rsidR="0041435A" w:rsidRPr="004D04E3">
                        <w:rPr>
                          <w:rFonts w:ascii="Arial" w:hAnsi="Arial" w:cs="Arial"/>
                          <w:color w:val="000000" w:themeColor="text1"/>
                        </w:rPr>
                        <w:t xml:space="preserve"> </w:t>
                      </w:r>
                    </w:p>
                    <w:p w14:paraId="07F6FEF8" w14:textId="715DEA6B" w:rsidR="00A102C5" w:rsidRPr="00E1577B" w:rsidRDefault="00E1577B" w:rsidP="004D04E3">
                      <w:pPr>
                        <w:spacing w:before="120" w:after="0" w:line="288" w:lineRule="auto"/>
                        <w:ind w:left="360"/>
                        <w:rPr>
                          <w:rFonts w:ascii="Arial" w:hAnsi="Arial" w:cs="Arial"/>
                          <w:color w:val="00B050"/>
                        </w:rPr>
                      </w:pPr>
                      <w:r w:rsidRPr="00E1577B">
                        <w:rPr>
                          <w:rFonts w:ascii="Arial" w:hAnsi="Arial" w:cs="Arial"/>
                          <w:color w:val="00B050"/>
                        </w:rPr>
                        <w:t>https://www.gov.uk/government/statistics/statistics-on-so-called-honour-based-abuse-offences-england-and-wales-2020-to-2021/statistics-on-so-called-honour-based-abuse-offences-england-and-wales-2020-to-2021</w:t>
                      </w:r>
                      <w:r>
                        <w:rPr>
                          <w:rFonts w:ascii="Arial" w:hAnsi="Arial" w:cs="Arial"/>
                          <w:color w:val="00B050"/>
                        </w:rPr>
                        <w:t xml:space="preserve"> (accessed 23 August 2022)</w:t>
                      </w:r>
                    </w:p>
                  </w:txbxContent>
                </v:textbox>
                <w10:wrap type="topAndBottom" anchory="page"/>
              </v:shape>
            </w:pict>
          </mc:Fallback>
        </mc:AlternateContent>
      </w:r>
      <w:r w:rsidR="596E0DC4" w:rsidRPr="5F3CA9E2">
        <w:rPr>
          <w:rFonts w:ascii="Arial" w:hAnsi="Arial" w:cs="Arial"/>
        </w:rPr>
        <w:t>If patient information is accessed by an abuser, it could lead to serious harm to the patient and others</w:t>
      </w:r>
      <w:r w:rsidR="299D3EDC" w:rsidRPr="5F3CA9E2">
        <w:rPr>
          <w:rFonts w:ascii="Arial" w:hAnsi="Arial" w:cs="Arial"/>
        </w:rPr>
        <w:t>,</w:t>
      </w:r>
      <w:r w:rsidR="596E0DC4" w:rsidRPr="5F3CA9E2">
        <w:rPr>
          <w:rFonts w:ascii="Arial" w:hAnsi="Arial" w:cs="Arial"/>
        </w:rPr>
        <w:t xml:space="preserve"> such as children in the same family.</w:t>
      </w:r>
      <w:r w:rsidR="430B965C" w:rsidRPr="5F3CA9E2">
        <w:rPr>
          <w:rFonts w:ascii="Arial" w:hAnsi="Arial" w:cs="Arial"/>
        </w:rPr>
        <w:t xml:space="preserve">  The perpetrator may gain access to their victim’s NHS </w:t>
      </w:r>
      <w:r w:rsidR="7F749FB2" w:rsidRPr="5F3CA9E2">
        <w:rPr>
          <w:rFonts w:ascii="Arial" w:hAnsi="Arial" w:cs="Arial"/>
        </w:rPr>
        <w:t>L</w:t>
      </w:r>
      <w:r w:rsidR="430B965C" w:rsidRPr="5F3CA9E2">
        <w:rPr>
          <w:rFonts w:ascii="Arial" w:hAnsi="Arial" w:cs="Arial"/>
        </w:rPr>
        <w:t>ogin details, or coerce them to share their phone, tablet, or digital device, etc. and access the patient’s health record.</w:t>
      </w:r>
    </w:p>
    <w:p w14:paraId="0259E04B" w14:textId="3741FD26" w:rsidR="00A67D1C" w:rsidRDefault="596E0DC4" w:rsidP="00A67D1C">
      <w:pPr>
        <w:pStyle w:val="Body"/>
        <w:spacing w:before="120" w:line="288" w:lineRule="auto"/>
        <w:rPr>
          <w:rFonts w:ascii="Arial" w:hAnsi="Arial" w:cs="Arial"/>
        </w:rPr>
      </w:pPr>
      <w:r w:rsidRPr="5F3CA9E2">
        <w:rPr>
          <w:rFonts w:ascii="Arial" w:hAnsi="Arial" w:cs="Arial"/>
        </w:rPr>
        <w:lastRenderedPageBreak/>
        <w:t xml:space="preserve">A patient may fall into a coercive relationship at any time, between intimate partners, family members, friends, peer groups, or in the context of trafficking, modern slavery, criminal and sexual exploitation.  </w:t>
      </w:r>
      <w:r w:rsidR="10C84E4F" w:rsidRPr="5F3CA9E2">
        <w:rPr>
          <w:rFonts w:ascii="Arial" w:hAnsi="Arial" w:cs="Arial"/>
        </w:rPr>
        <w:t>In these situations, patients</w:t>
      </w:r>
      <w:r w:rsidRPr="5F3CA9E2">
        <w:rPr>
          <w:rFonts w:ascii="Arial" w:hAnsi="Arial" w:cs="Arial"/>
        </w:rPr>
        <w:t xml:space="preserve"> could struggle to keep their online record secure and private.</w:t>
      </w:r>
    </w:p>
    <w:p w14:paraId="42D6C257" w14:textId="2FDAC8BF" w:rsidR="00BA46BB" w:rsidRDefault="00BA46BB" w:rsidP="00A67D1C">
      <w:pPr>
        <w:pStyle w:val="Body"/>
        <w:spacing w:before="120" w:line="288" w:lineRule="auto"/>
        <w:rPr>
          <w:rFonts w:ascii="Arial" w:hAnsi="Arial" w:cs="Arial"/>
        </w:rPr>
      </w:pPr>
      <w:r w:rsidRPr="65D5D47B">
        <w:rPr>
          <w:rFonts w:ascii="Arial" w:hAnsi="Arial" w:cs="Arial"/>
        </w:rPr>
        <w:t>Patients with a learning disability or cognitive impairment, or those who have poor literacy or who are unable to speak or read English, may be easily</w:t>
      </w:r>
      <w:r w:rsidR="39018783" w:rsidRPr="65D5D47B">
        <w:rPr>
          <w:rFonts w:ascii="Arial" w:hAnsi="Arial" w:cs="Arial"/>
        </w:rPr>
        <w:t xml:space="preserve"> </w:t>
      </w:r>
      <w:r w:rsidR="00AC1310" w:rsidRPr="65D5D47B">
        <w:rPr>
          <w:rFonts w:ascii="Arial" w:hAnsi="Arial" w:cs="Arial"/>
        </w:rPr>
        <w:t>coerced to</w:t>
      </w:r>
      <w:r w:rsidRPr="65D5D47B">
        <w:rPr>
          <w:rFonts w:ascii="Arial" w:hAnsi="Arial" w:cs="Arial"/>
        </w:rPr>
        <w:t xml:space="preserve"> share their online record.</w:t>
      </w:r>
    </w:p>
    <w:p w14:paraId="4CFE4A6D" w14:textId="11F72C47" w:rsidR="00A67D1C" w:rsidRPr="00AA5672" w:rsidRDefault="00BA46BB" w:rsidP="00A67D1C">
      <w:pPr>
        <w:pStyle w:val="Body"/>
        <w:spacing w:before="120" w:line="288" w:lineRule="auto"/>
        <w:rPr>
          <w:rFonts w:ascii="Arial" w:hAnsi="Arial" w:cs="Arial"/>
        </w:rPr>
      </w:pPr>
      <w:r>
        <w:rPr>
          <w:rFonts w:ascii="Arial" w:hAnsi="Arial" w:cs="Arial"/>
        </w:rPr>
        <w:t xml:space="preserve">Indirect harm may also be experienced by </w:t>
      </w:r>
      <w:r w:rsidR="596E0DC4" w:rsidRPr="5F3CA9E2">
        <w:rPr>
          <w:rFonts w:ascii="Arial" w:hAnsi="Arial" w:cs="Arial"/>
        </w:rPr>
        <w:t>patients who have a particular fear of authority and how authorities may want to access their online record, such as refugees and those whose immigration status is uncertain.</w:t>
      </w:r>
      <w:r w:rsidR="430B965C" w:rsidRPr="5F3CA9E2">
        <w:rPr>
          <w:rFonts w:ascii="Arial" w:hAnsi="Arial" w:cs="Arial"/>
        </w:rPr>
        <w:t xml:space="preserve">  They may be deterred from seeking healthcare when they need it because of a fear that health records are no longer confidential.</w:t>
      </w:r>
    </w:p>
    <w:p w14:paraId="180CA0C5" w14:textId="17AE29FB" w:rsidR="005A72F3" w:rsidRPr="00CF246D" w:rsidRDefault="00CF246D" w:rsidP="005A72F3">
      <w:pPr>
        <w:pStyle w:val="Body"/>
        <w:spacing w:before="120" w:line="288" w:lineRule="auto"/>
        <w:rPr>
          <w:rFonts w:ascii="Arial" w:hAnsi="Arial" w:cs="Arial"/>
          <w:color w:val="00B050"/>
        </w:rPr>
      </w:pPr>
      <w:r w:rsidRPr="0D40289F">
        <w:rPr>
          <w:rFonts w:ascii="Arial" w:hAnsi="Arial" w:cs="Arial"/>
          <w:color w:val="00B050"/>
        </w:rPr>
        <w:t>Ref: Examples</w:t>
      </w:r>
      <w:r w:rsidR="430B965C" w:rsidRPr="0D40289F">
        <w:rPr>
          <w:rFonts w:ascii="Arial" w:hAnsi="Arial" w:cs="Arial"/>
          <w:color w:val="00B050"/>
        </w:rPr>
        <w:t xml:space="preserve"> of good practice</w:t>
      </w:r>
      <w:r w:rsidRPr="0D40289F">
        <w:rPr>
          <w:rFonts w:ascii="Arial" w:hAnsi="Arial" w:cs="Arial"/>
          <w:color w:val="00B050"/>
        </w:rPr>
        <w:t xml:space="preserve"> in identifying, </w:t>
      </w:r>
      <w:proofErr w:type="gramStart"/>
      <w:r w:rsidRPr="0D40289F">
        <w:rPr>
          <w:rFonts w:ascii="Arial" w:hAnsi="Arial" w:cs="Arial"/>
          <w:color w:val="00B050"/>
        </w:rPr>
        <w:t>documenting</w:t>
      </w:r>
      <w:proofErr w:type="gramEnd"/>
      <w:r w:rsidRPr="0D40289F">
        <w:rPr>
          <w:rFonts w:ascii="Arial" w:hAnsi="Arial" w:cs="Arial"/>
          <w:color w:val="00B050"/>
        </w:rPr>
        <w:t xml:space="preserve"> and managing safeguarding risks in Primary Care are available on the </w:t>
      </w:r>
      <w:proofErr w:type="spellStart"/>
      <w:r w:rsidRPr="0D40289F">
        <w:rPr>
          <w:rFonts w:ascii="Arial" w:hAnsi="Arial" w:cs="Arial"/>
          <w:color w:val="00B050"/>
        </w:rPr>
        <w:t>SafeLives</w:t>
      </w:r>
      <w:proofErr w:type="spellEnd"/>
      <w:r w:rsidRPr="0D40289F">
        <w:rPr>
          <w:rFonts w:ascii="Arial" w:hAnsi="Arial" w:cs="Arial"/>
          <w:color w:val="00B050"/>
        </w:rPr>
        <w:t xml:space="preserve"> website at https://safelives.org.uk/GP-pathfinder-profile (accessed 23 August 2022).</w:t>
      </w:r>
    </w:p>
    <w:p w14:paraId="23E5736D" w14:textId="67F5F2DF" w:rsidR="00BE3B12" w:rsidRDefault="00CF246D" w:rsidP="005A72F3">
      <w:pPr>
        <w:pStyle w:val="Body"/>
        <w:spacing w:before="120" w:line="288" w:lineRule="auto"/>
        <w:rPr>
          <w:rFonts w:ascii="Arial" w:hAnsi="Arial" w:cs="Arial"/>
          <w:color w:val="000000" w:themeColor="text1"/>
        </w:rPr>
      </w:pPr>
      <w:r>
        <w:rPr>
          <w:rFonts w:ascii="Arial" w:hAnsi="Arial" w:cs="Arial"/>
          <w:color w:val="000000" w:themeColor="text1"/>
        </w:rPr>
        <w:t xml:space="preserve">To quote the </w:t>
      </w:r>
      <w:proofErr w:type="spellStart"/>
      <w:r>
        <w:rPr>
          <w:rFonts w:ascii="Arial" w:hAnsi="Arial" w:cs="Arial"/>
          <w:color w:val="000000" w:themeColor="text1"/>
        </w:rPr>
        <w:t>SafeLives</w:t>
      </w:r>
      <w:proofErr w:type="spellEnd"/>
      <w:r>
        <w:rPr>
          <w:rFonts w:ascii="Arial" w:hAnsi="Arial" w:cs="Arial"/>
          <w:color w:val="000000" w:themeColor="text1"/>
        </w:rPr>
        <w:t xml:space="preserve"> GP Pathfinder</w:t>
      </w:r>
      <w:r w:rsidR="009A7F4C">
        <w:rPr>
          <w:rFonts w:ascii="Arial" w:hAnsi="Arial" w:cs="Arial"/>
          <w:color w:val="000000" w:themeColor="text1"/>
        </w:rPr>
        <w:t xml:space="preserve"> </w:t>
      </w:r>
      <w:r w:rsidR="00C16E46">
        <w:rPr>
          <w:rFonts w:ascii="Arial" w:hAnsi="Arial" w:cs="Arial"/>
          <w:color w:val="000000" w:themeColor="text1"/>
        </w:rPr>
        <w:t>Profile</w:t>
      </w:r>
      <w:r w:rsidR="009A7F4C">
        <w:rPr>
          <w:rFonts w:ascii="Arial" w:hAnsi="Arial" w:cs="Arial"/>
          <w:color w:val="000000" w:themeColor="text1"/>
        </w:rPr>
        <w:t>:</w:t>
      </w:r>
    </w:p>
    <w:p w14:paraId="1BDF3229" w14:textId="49E05721" w:rsidR="005A72F3" w:rsidRPr="00BE3B12" w:rsidRDefault="00C77CE3" w:rsidP="1625ED47">
      <w:pPr>
        <w:spacing w:before="120" w:after="0" w:line="288" w:lineRule="auto"/>
        <w:rPr>
          <w:rFonts w:ascii="Arial" w:hAnsi="Arial" w:cs="Arial"/>
          <w:b/>
          <w:bCs/>
          <w:i/>
          <w:iCs/>
          <w:sz w:val="24"/>
          <w:szCs w:val="24"/>
        </w:rPr>
      </w:pPr>
      <w:r w:rsidRPr="07A887CC">
        <w:rPr>
          <w:rFonts w:ascii="Arial" w:hAnsi="Arial" w:cs="Arial"/>
          <w:b/>
          <w:bCs/>
          <w:sz w:val="24"/>
          <w:szCs w:val="24"/>
        </w:rPr>
        <w:t>“</w:t>
      </w:r>
      <w:r w:rsidR="005A72F3" w:rsidRPr="07A887CC">
        <w:rPr>
          <w:rFonts w:ascii="Arial" w:hAnsi="Arial" w:cs="Arial"/>
          <w:b/>
          <w:bCs/>
          <w:i/>
          <w:iCs/>
          <w:sz w:val="24"/>
          <w:szCs w:val="24"/>
        </w:rPr>
        <w:t>Disclosure and Data recording of Domestic Abuse</w:t>
      </w:r>
    </w:p>
    <w:p w14:paraId="5C94025E" w14:textId="3E7B6CBF" w:rsidR="005A72F3" w:rsidRPr="00C77CE3" w:rsidRDefault="005A72F3" w:rsidP="005A72F3">
      <w:pPr>
        <w:spacing w:before="120" w:after="0" w:line="288" w:lineRule="auto"/>
        <w:rPr>
          <w:rFonts w:ascii="Arial" w:hAnsi="Arial" w:cs="Arial"/>
          <w:i/>
          <w:iCs/>
        </w:rPr>
      </w:pPr>
      <w:r w:rsidRPr="00C77CE3">
        <w:rPr>
          <w:rFonts w:ascii="Arial" w:hAnsi="Arial" w:cs="Arial"/>
          <w:i/>
          <w:iCs/>
        </w:rPr>
        <w:t xml:space="preserve">Disclosures of domestic abuse made to health practitioners are not always recorded - this can be due to inconsistent recording, lack of understanding of abuse, no structural framework requiring such data to be recorded, concerns over GDPR legislation and many others.  It is, however, important to collect and record such information, as it will allow practitioners to better understand the driving cause of some of the medical conditions the patients are presenting with and offer better support.  Without it, there is little evidence to show the work practitioners already do to support victims/survivors of abuse. </w:t>
      </w:r>
    </w:p>
    <w:p w14:paraId="352BC82F" w14:textId="77777777" w:rsidR="005A72F3" w:rsidRPr="00C77CE3" w:rsidRDefault="005A72F3" w:rsidP="005A72F3">
      <w:pPr>
        <w:spacing w:before="120" w:after="0" w:line="288" w:lineRule="auto"/>
        <w:rPr>
          <w:rFonts w:ascii="Arial" w:hAnsi="Arial" w:cs="Arial"/>
          <w:i/>
          <w:iCs/>
        </w:rPr>
      </w:pPr>
      <w:r w:rsidRPr="00C77CE3">
        <w:rPr>
          <w:rFonts w:ascii="Arial" w:hAnsi="Arial" w:cs="Arial"/>
          <w:i/>
          <w:iCs/>
        </w:rPr>
        <w:t xml:space="preserve">Not only is effective data recording useful for practitioners, </w:t>
      </w:r>
      <w:proofErr w:type="gramStart"/>
      <w:r w:rsidRPr="00C77CE3">
        <w:rPr>
          <w:rFonts w:ascii="Arial" w:hAnsi="Arial" w:cs="Arial"/>
          <w:i/>
          <w:iCs/>
        </w:rPr>
        <w:t>it</w:t>
      </w:r>
      <w:proofErr w:type="gramEnd"/>
      <w:r w:rsidRPr="00C77CE3">
        <w:rPr>
          <w:rFonts w:ascii="Arial" w:hAnsi="Arial" w:cs="Arial"/>
          <w:i/>
          <w:iCs/>
        </w:rPr>
        <w:t xml:space="preserve"> is also helpful for victims/survivors themselves.  Recording disclosures in case notes means victims/survivors do not have to repeat their story to multiple professionals, which can be traumatising and impair their mental health and wellbeing.  Every practitioner who is working with and supporting the victim/survivor should know about their experience of abuse.  This means that disclosures of domestic abuse must be clearly recorded in a factual manner on case management systems. Note details of the abuse as told to you by the victim/survivor.  A Case Analysis Report produced by Standing Together Against Domestic Violence, a Pathfinder partner, found that consistent and comprehensive record keeping are crucial in ensuring appropriate continuity of care and an integrated response. </w:t>
      </w:r>
    </w:p>
    <w:p w14:paraId="133383BF" w14:textId="2CDE5ACD" w:rsidR="00582831" w:rsidRPr="009A7F4C" w:rsidRDefault="005A72F3" w:rsidP="00582831">
      <w:pPr>
        <w:spacing w:before="120" w:after="0" w:line="288" w:lineRule="auto"/>
        <w:rPr>
          <w:rFonts w:ascii="Arial" w:hAnsi="Arial" w:cs="Arial"/>
        </w:rPr>
      </w:pPr>
      <w:r w:rsidRPr="07A887CC">
        <w:rPr>
          <w:rFonts w:ascii="Arial" w:hAnsi="Arial" w:cs="Arial"/>
          <w:b/>
          <w:bCs/>
          <w:i/>
          <w:iCs/>
          <w:color w:val="000000" w:themeColor="text1"/>
        </w:rPr>
        <w:t>Practitioners need to be aware of safety implications of this for themselves and the victim/survivor and ensure this is done sensitively - the perpetrator should not be able to gain access or be able to see that this has been recorded.</w:t>
      </w:r>
      <w:r w:rsidRPr="07A887CC">
        <w:rPr>
          <w:rFonts w:ascii="Arial" w:hAnsi="Arial" w:cs="Arial"/>
          <w:i/>
          <w:iCs/>
          <w:color w:val="000000" w:themeColor="text1"/>
        </w:rPr>
        <w:t xml:space="preserve">  </w:t>
      </w:r>
      <w:r w:rsidRPr="07A887CC">
        <w:rPr>
          <w:rFonts w:ascii="Arial" w:hAnsi="Arial" w:cs="Arial"/>
          <w:i/>
          <w:iCs/>
        </w:rPr>
        <w:t>Ensure that case notes are not visible on the front screen during appointments (as often perpetrators will attend appointments with the victim/survivor).</w:t>
      </w:r>
      <w:r w:rsidRPr="07A887CC">
        <w:rPr>
          <w:rFonts w:ascii="Arial" w:hAnsi="Arial" w:cs="Arial"/>
        </w:rPr>
        <w:t>”</w:t>
      </w:r>
      <w:bookmarkEnd w:id="0"/>
    </w:p>
    <w:p w14:paraId="48875D11" w14:textId="0C0A2F65" w:rsidR="00582831" w:rsidRDefault="00582831" w:rsidP="00582831">
      <w:pPr>
        <w:spacing w:before="120" w:after="0" w:line="288" w:lineRule="auto"/>
        <w:rPr>
          <w:rFonts w:ascii="Arial" w:hAnsi="Arial" w:cs="Arial"/>
          <w:color w:val="00B050"/>
        </w:rPr>
      </w:pPr>
    </w:p>
    <w:p w14:paraId="7DC8DD7A" w14:textId="1DE57C78" w:rsidR="00582831" w:rsidRDefault="00582831" w:rsidP="00582831">
      <w:pPr>
        <w:spacing w:before="120" w:after="0" w:line="288" w:lineRule="auto"/>
        <w:rPr>
          <w:rFonts w:ascii="Arial" w:hAnsi="Arial" w:cs="Arial"/>
          <w:color w:val="00B050"/>
        </w:rPr>
      </w:pPr>
    </w:p>
    <w:p w14:paraId="07E4D7D8" w14:textId="77777777" w:rsidR="00582831" w:rsidRPr="00582831" w:rsidRDefault="00582831" w:rsidP="00582831">
      <w:pPr>
        <w:spacing w:before="120" w:after="0" w:line="288" w:lineRule="auto"/>
        <w:rPr>
          <w:rFonts w:ascii="Arial" w:hAnsi="Arial" w:cs="Arial"/>
        </w:rPr>
      </w:pPr>
    </w:p>
    <w:p w14:paraId="2C1D92EC" w14:textId="4A75EB1E" w:rsidR="00A53C70" w:rsidRDefault="00A53C70" w:rsidP="009A7F4C">
      <w:pPr>
        <w:pStyle w:val="Body"/>
        <w:spacing w:before="120" w:line="288" w:lineRule="auto"/>
        <w:rPr>
          <w:rFonts w:ascii="Lato" w:hAnsi="Lato" w:cs="Arial"/>
          <w:color w:val="000000" w:themeColor="text1"/>
          <w:sz w:val="32"/>
          <w:szCs w:val="32"/>
        </w:rPr>
      </w:pPr>
      <w:r>
        <w:rPr>
          <w:rFonts w:ascii="Lato" w:hAnsi="Lato" w:cs="Arial"/>
          <w:b/>
          <w:bCs/>
          <w:noProof/>
          <w:color w:val="000000" w:themeColor="text1"/>
          <w:sz w:val="32"/>
          <w:szCs w:val="32"/>
        </w:rPr>
        <w:lastRenderedPageBreak/>
        <mc:AlternateContent>
          <mc:Choice Requires="wps">
            <w:drawing>
              <wp:anchor distT="0" distB="0" distL="114300" distR="114300" simplePos="0" relativeHeight="251661312" behindDoc="0" locked="0" layoutInCell="1" allowOverlap="1" wp14:anchorId="28C9B08C" wp14:editId="5C86ABBF">
                <wp:simplePos x="0" y="0"/>
                <wp:positionH relativeFrom="column">
                  <wp:posOffset>0</wp:posOffset>
                </wp:positionH>
                <wp:positionV relativeFrom="paragraph">
                  <wp:posOffset>-73025</wp:posOffset>
                </wp:positionV>
                <wp:extent cx="5757545" cy="1149790"/>
                <wp:effectExtent l="0" t="0" r="8255" b="19050"/>
                <wp:wrapNone/>
                <wp:docPr id="2" name="Text Box 2"/>
                <wp:cNvGraphicFramePr/>
                <a:graphic xmlns:a="http://schemas.openxmlformats.org/drawingml/2006/main">
                  <a:graphicData uri="http://schemas.microsoft.com/office/word/2010/wordprocessingShape">
                    <wps:wsp>
                      <wps:cNvSpPr txBox="1"/>
                      <wps:spPr>
                        <a:xfrm>
                          <a:off x="0" y="0"/>
                          <a:ext cx="5757545" cy="1149790"/>
                        </a:xfrm>
                        <a:prstGeom prst="rect">
                          <a:avLst/>
                        </a:prstGeom>
                        <a:solidFill>
                          <a:schemeClr val="accent2"/>
                        </a:solidFill>
                        <a:ln w="6350">
                          <a:solidFill>
                            <a:prstClr val="black"/>
                          </a:solidFill>
                        </a:ln>
                      </wps:spPr>
                      <wps:txbx>
                        <w:txbxContent>
                          <w:p w14:paraId="2E00C018" w14:textId="77777777" w:rsidR="00A53C70" w:rsidRPr="009C3138" w:rsidRDefault="00A53C70" w:rsidP="00A53C70">
                            <w:pPr>
                              <w:spacing w:before="240" w:after="0"/>
                              <w:jc w:val="center"/>
                              <w:rPr>
                                <w:rFonts w:ascii="Lato" w:hAnsi="Lato"/>
                                <w:b/>
                                <w:bCs/>
                                <w:color w:val="FFFFFF" w:themeColor="background1"/>
                                <w:sz w:val="32"/>
                                <w:szCs w:val="32"/>
                              </w:rPr>
                            </w:pPr>
                            <w:r w:rsidRPr="009C3138">
                              <w:rPr>
                                <w:rFonts w:ascii="Lato" w:hAnsi="Lato"/>
                                <w:b/>
                                <w:bCs/>
                                <w:color w:val="FFFFFF" w:themeColor="background1"/>
                                <w:sz w:val="32"/>
                                <w:szCs w:val="32"/>
                              </w:rPr>
                              <w:t>EMPOWER AND ENABLE</w:t>
                            </w:r>
                          </w:p>
                          <w:p w14:paraId="6DD61F26" w14:textId="77777777" w:rsidR="00A53C70" w:rsidRPr="009C3138" w:rsidRDefault="00A53C70" w:rsidP="00A53C70">
                            <w:pPr>
                              <w:spacing w:before="120"/>
                              <w:jc w:val="center"/>
                              <w:rPr>
                                <w:rFonts w:ascii="Lato" w:hAnsi="Lato"/>
                                <w:color w:val="FFFFFF" w:themeColor="background1"/>
                                <w:sz w:val="24"/>
                                <w:szCs w:val="24"/>
                              </w:rPr>
                            </w:pPr>
                            <w:r w:rsidRPr="009C3138">
                              <w:rPr>
                                <w:rFonts w:ascii="Lato" w:hAnsi="Lato"/>
                                <w:color w:val="FFFFFF" w:themeColor="background1"/>
                                <w:sz w:val="24"/>
                                <w:szCs w:val="24"/>
                              </w:rPr>
                              <w:t>Enabling and empowering victims and survivors of abuse to make their own choices and retain control of their lives is key to supporting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9B08C" id="Text Box 2" o:spid="_x0000_s1028" type="#_x0000_t202" style="position:absolute;margin-left:0;margin-top:-5.75pt;width:453.35pt;height:9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" fillcolor="#c0504d [3205]" strokeweight=".5pt">
                <v:textbox>
                  <w:txbxContent>
                    <w:p w14:paraId="2E00C018" w14:textId="77777777" w:rsidR="00A53C70" w:rsidRPr="009C3138" w:rsidRDefault="00A53C70" w:rsidP="00A53C70">
                      <w:pPr>
                        <w:spacing w:before="240" w:after="0"/>
                        <w:jc w:val="center"/>
                        <w:rPr>
                          <w:rFonts w:ascii="Lato" w:hAnsi="Lato"/>
                          <w:b/>
                          <w:bCs/>
                          <w:color w:val="FFFFFF" w:themeColor="background1"/>
                          <w:sz w:val="32"/>
                          <w:szCs w:val="32"/>
                        </w:rPr>
                      </w:pPr>
                      <w:r w:rsidRPr="009C3138">
                        <w:rPr>
                          <w:rFonts w:ascii="Lato" w:hAnsi="Lato"/>
                          <w:b/>
                          <w:bCs/>
                          <w:color w:val="FFFFFF" w:themeColor="background1"/>
                          <w:sz w:val="32"/>
                          <w:szCs w:val="32"/>
                        </w:rPr>
                        <w:t>EMPOWER AND ENABLE</w:t>
                      </w:r>
                    </w:p>
                    <w:p w14:paraId="6DD61F26" w14:textId="77777777" w:rsidR="00A53C70" w:rsidRPr="009C3138" w:rsidRDefault="00A53C70" w:rsidP="00A53C70">
                      <w:pPr>
                        <w:spacing w:before="120"/>
                        <w:jc w:val="center"/>
                        <w:rPr>
                          <w:rFonts w:ascii="Lato" w:hAnsi="Lato"/>
                          <w:color w:val="FFFFFF" w:themeColor="background1"/>
                          <w:sz w:val="24"/>
                          <w:szCs w:val="24"/>
                        </w:rPr>
                      </w:pPr>
                      <w:r w:rsidRPr="009C3138">
                        <w:rPr>
                          <w:rFonts w:ascii="Lato" w:hAnsi="Lato"/>
                          <w:color w:val="FFFFFF" w:themeColor="background1"/>
                          <w:sz w:val="24"/>
                          <w:szCs w:val="24"/>
                        </w:rPr>
                        <w:t>Enabling and empowering victims and survivors of abuse to make their own choices and retain control of their lives is key to supporting them</w:t>
                      </w:r>
                    </w:p>
                  </w:txbxContent>
                </v:textbox>
              </v:shape>
            </w:pict>
          </mc:Fallback>
        </mc:AlternateContent>
      </w:r>
    </w:p>
    <w:p w14:paraId="07881076" w14:textId="77777777" w:rsidR="00A53C70" w:rsidRDefault="00A53C70" w:rsidP="009A7F4C">
      <w:pPr>
        <w:pStyle w:val="Body"/>
        <w:spacing w:before="120" w:line="288" w:lineRule="auto"/>
        <w:rPr>
          <w:rFonts w:ascii="Lato" w:hAnsi="Lato" w:cs="Arial"/>
          <w:color w:val="000000" w:themeColor="text1"/>
          <w:sz w:val="32"/>
          <w:szCs w:val="32"/>
        </w:rPr>
      </w:pPr>
    </w:p>
    <w:p w14:paraId="08BF4D2F" w14:textId="77777777" w:rsidR="00A53C70" w:rsidRDefault="00A53C70" w:rsidP="009A7F4C">
      <w:pPr>
        <w:pStyle w:val="Body"/>
        <w:spacing w:before="120" w:line="288" w:lineRule="auto"/>
        <w:rPr>
          <w:rFonts w:ascii="Lato" w:hAnsi="Lato" w:cs="Arial"/>
          <w:color w:val="000000" w:themeColor="text1"/>
          <w:sz w:val="32"/>
          <w:szCs w:val="32"/>
        </w:rPr>
      </w:pPr>
    </w:p>
    <w:p w14:paraId="4ABCA0C2" w14:textId="77777777" w:rsidR="00A53C70" w:rsidRDefault="00A53C70" w:rsidP="009A7F4C">
      <w:pPr>
        <w:pStyle w:val="Body"/>
        <w:spacing w:before="120" w:line="288" w:lineRule="auto"/>
        <w:rPr>
          <w:rFonts w:ascii="Lato" w:hAnsi="Lato" w:cs="Arial"/>
          <w:color w:val="000000" w:themeColor="text1"/>
          <w:sz w:val="32"/>
          <w:szCs w:val="32"/>
        </w:rPr>
      </w:pPr>
    </w:p>
    <w:p w14:paraId="2EB0B8A3" w14:textId="3210D4B3" w:rsidR="00910725" w:rsidRPr="009A7F4C" w:rsidRDefault="00965AD9" w:rsidP="0D40289F">
      <w:pPr>
        <w:pStyle w:val="Body"/>
        <w:spacing w:before="120" w:line="288" w:lineRule="auto"/>
        <w:rPr>
          <w:rFonts w:ascii="Lato" w:eastAsiaTheme="minorEastAsia" w:hAnsi="Lato" w:cs="Arial"/>
          <w:color w:val="000000" w:themeColor="text1"/>
          <w:sz w:val="32"/>
          <w:szCs w:val="32"/>
        </w:rPr>
      </w:pPr>
      <w:r w:rsidRPr="0D40289F">
        <w:rPr>
          <w:rFonts w:ascii="Lato" w:hAnsi="Lato" w:cs="Arial"/>
          <w:color w:val="000000" w:themeColor="text1"/>
          <w:sz w:val="32"/>
          <w:szCs w:val="32"/>
        </w:rPr>
        <w:t>Coerci</w:t>
      </w:r>
      <w:r w:rsidR="00C77CE3" w:rsidRPr="0D40289F">
        <w:rPr>
          <w:rFonts w:ascii="Lato" w:hAnsi="Lato" w:cs="Arial"/>
          <w:color w:val="000000" w:themeColor="text1"/>
          <w:sz w:val="32"/>
          <w:szCs w:val="32"/>
        </w:rPr>
        <w:t>on</w:t>
      </w:r>
      <w:r w:rsidR="00AA5672" w:rsidRPr="0D40289F">
        <w:rPr>
          <w:rFonts w:ascii="Lato" w:hAnsi="Lato" w:cs="Arial"/>
          <w:color w:val="000000" w:themeColor="text1"/>
          <w:sz w:val="32"/>
          <w:szCs w:val="32"/>
        </w:rPr>
        <w:t xml:space="preserve"> to gain access to the online record</w:t>
      </w:r>
    </w:p>
    <w:p w14:paraId="401866D2" w14:textId="6173391B" w:rsidR="005560DF" w:rsidRPr="008D3D44" w:rsidRDefault="00DA4829" w:rsidP="00DA4829">
      <w:pPr>
        <w:spacing w:before="120" w:after="0" w:line="288" w:lineRule="auto"/>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Coercive behaviour is a central characteristic of </w:t>
      </w:r>
      <w:r w:rsidR="005560DF" w:rsidRPr="008D3D44">
        <w:rPr>
          <w:rStyle w:val="normaltextrun"/>
          <w:rFonts w:ascii="Arial" w:hAnsi="Arial" w:cs="Arial"/>
          <w:color w:val="000000"/>
          <w:shd w:val="clear" w:color="auto" w:fill="FFFFFF"/>
        </w:rPr>
        <w:t>many types of abuse</w:t>
      </w:r>
      <w:r>
        <w:rPr>
          <w:rStyle w:val="normaltextrun"/>
          <w:rFonts w:ascii="Arial" w:hAnsi="Arial" w:cs="Arial"/>
          <w:color w:val="000000"/>
          <w:shd w:val="clear" w:color="auto" w:fill="FFFFFF"/>
        </w:rPr>
        <w:t>.  It</w:t>
      </w:r>
      <w:r w:rsidR="005560DF" w:rsidRPr="008D3D44">
        <w:rPr>
          <w:rStyle w:val="normaltextrun"/>
          <w:rFonts w:ascii="Arial" w:hAnsi="Arial" w:cs="Arial"/>
          <w:color w:val="000000"/>
          <w:shd w:val="clear" w:color="auto" w:fill="FFFFFF"/>
        </w:rPr>
        <w:t xml:space="preserve"> is a pattern of behaviour used by perpetrators to exert control and power over their victims, often </w:t>
      </w:r>
      <w:r>
        <w:rPr>
          <w:rStyle w:val="normaltextrun"/>
          <w:rFonts w:ascii="Arial" w:hAnsi="Arial" w:cs="Arial"/>
          <w:color w:val="000000"/>
          <w:shd w:val="clear" w:color="auto" w:fill="FFFFFF"/>
        </w:rPr>
        <w:t>by inducing fear</w:t>
      </w:r>
      <w:r w:rsidR="005560DF" w:rsidRPr="008D3D44">
        <w:rPr>
          <w:rStyle w:val="normaltextrun"/>
          <w:rFonts w:ascii="Arial" w:hAnsi="Arial" w:cs="Arial"/>
          <w:color w:val="000000"/>
          <w:shd w:val="clear" w:color="auto" w:fill="FFFFFF"/>
        </w:rPr>
        <w:t>.</w:t>
      </w:r>
      <w:r w:rsidR="00C77CE3">
        <w:rPr>
          <w:rStyle w:val="eop"/>
          <w:rFonts w:ascii="Arial" w:hAnsi="Arial" w:cs="Arial"/>
          <w:color w:val="000000"/>
          <w:shd w:val="clear" w:color="auto" w:fill="FFFFFF"/>
        </w:rPr>
        <w:t xml:space="preserve"> </w:t>
      </w:r>
      <w:r>
        <w:rPr>
          <w:rStyle w:val="eop"/>
          <w:rFonts w:ascii="Arial" w:hAnsi="Arial" w:cs="Arial"/>
          <w:color w:val="000000"/>
          <w:shd w:val="clear" w:color="auto" w:fill="FFFFFF"/>
        </w:rPr>
        <w:t>It is found in</w:t>
      </w:r>
      <w:r w:rsidR="005560DF" w:rsidRPr="008D3D44">
        <w:rPr>
          <w:rStyle w:val="normaltextrun"/>
          <w:rFonts w:ascii="Arial" w:hAnsi="Arial" w:cs="Arial"/>
          <w:color w:val="000000"/>
          <w:shd w:val="clear" w:color="auto" w:fill="FFFFFF"/>
        </w:rPr>
        <w:t xml:space="preserve"> domestic abuse, modern slavery and trafficking, </w:t>
      </w:r>
      <w:r w:rsidRPr="008D3D44">
        <w:rPr>
          <w:rStyle w:val="normaltextrun"/>
          <w:rFonts w:ascii="Arial" w:hAnsi="Arial" w:cs="Arial"/>
          <w:color w:val="000000"/>
          <w:shd w:val="clear" w:color="auto" w:fill="FFFFFF"/>
        </w:rPr>
        <w:t>honour-based</w:t>
      </w:r>
      <w:r w:rsidR="005560DF" w:rsidRPr="008D3D44">
        <w:rPr>
          <w:rStyle w:val="normaltextrun"/>
          <w:rFonts w:ascii="Arial" w:hAnsi="Arial" w:cs="Arial"/>
          <w:color w:val="000000"/>
          <w:shd w:val="clear" w:color="auto" w:fill="FFFFFF"/>
        </w:rPr>
        <w:t xml:space="preserve"> abuse, criminal and sexual exploitation.</w:t>
      </w:r>
      <w:r w:rsidR="00713719">
        <w:rPr>
          <w:rStyle w:val="normaltextrun"/>
          <w:rFonts w:ascii="Arial" w:hAnsi="Arial" w:cs="Arial"/>
          <w:color w:val="000000"/>
          <w:shd w:val="clear" w:color="auto" w:fill="FFFFFF"/>
        </w:rPr>
        <w:t xml:space="preserve"> </w:t>
      </w:r>
      <w:r w:rsidR="005560DF" w:rsidRPr="008D3D44">
        <w:rPr>
          <w:rStyle w:val="eop"/>
          <w:rFonts w:ascii="Arial" w:hAnsi="Arial" w:cs="Arial"/>
          <w:color w:val="000000"/>
          <w:shd w:val="clear" w:color="auto" w:fill="FFFFFF"/>
        </w:rPr>
        <w:t>Perpetrators will often use any means available to them to control their victims</w:t>
      </w:r>
      <w:r>
        <w:rPr>
          <w:rStyle w:val="eop"/>
          <w:rFonts w:ascii="Arial" w:hAnsi="Arial" w:cs="Arial"/>
          <w:color w:val="000000"/>
          <w:shd w:val="clear" w:color="auto" w:fill="FFFFFF"/>
        </w:rPr>
        <w:t xml:space="preserve">, including </w:t>
      </w:r>
      <w:r w:rsidR="005560DF" w:rsidRPr="008D3D44">
        <w:rPr>
          <w:rStyle w:val="eop"/>
          <w:rFonts w:ascii="Arial" w:hAnsi="Arial" w:cs="Arial"/>
          <w:color w:val="000000"/>
          <w:shd w:val="clear" w:color="auto" w:fill="FFFFFF"/>
        </w:rPr>
        <w:t xml:space="preserve">controlling </w:t>
      </w:r>
      <w:r>
        <w:rPr>
          <w:rStyle w:val="eop"/>
          <w:rFonts w:ascii="Arial" w:hAnsi="Arial" w:cs="Arial"/>
          <w:color w:val="000000"/>
          <w:shd w:val="clear" w:color="auto" w:fill="FFFFFF"/>
        </w:rPr>
        <w:t xml:space="preserve">their use of </w:t>
      </w:r>
      <w:r w:rsidR="00910725" w:rsidRPr="008D3D44">
        <w:rPr>
          <w:rStyle w:val="eop"/>
          <w:rFonts w:ascii="Arial" w:hAnsi="Arial" w:cs="Arial"/>
          <w:color w:val="000000"/>
          <w:shd w:val="clear" w:color="auto" w:fill="FFFFFF"/>
        </w:rPr>
        <w:t xml:space="preserve">technology and </w:t>
      </w:r>
      <w:r w:rsidR="00713719">
        <w:rPr>
          <w:rStyle w:val="eop"/>
          <w:rFonts w:ascii="Arial" w:hAnsi="Arial" w:cs="Arial"/>
          <w:color w:val="000000"/>
          <w:shd w:val="clear" w:color="auto" w:fill="FFFFFF"/>
        </w:rPr>
        <w:t xml:space="preserve">their </w:t>
      </w:r>
      <w:r w:rsidR="005560DF" w:rsidRPr="008D3D44">
        <w:rPr>
          <w:rStyle w:val="eop"/>
          <w:rFonts w:ascii="Arial" w:hAnsi="Arial" w:cs="Arial"/>
          <w:color w:val="000000"/>
          <w:shd w:val="clear" w:color="auto" w:fill="FFFFFF"/>
        </w:rPr>
        <w:t xml:space="preserve">access to healthcare. </w:t>
      </w:r>
    </w:p>
    <w:p w14:paraId="032D66A7" w14:textId="265A63ED" w:rsidR="005560DF" w:rsidRPr="009A7F4C" w:rsidRDefault="3BD55593" w:rsidP="00AC48E2">
      <w:pPr>
        <w:spacing w:before="120" w:after="0" w:line="288" w:lineRule="auto"/>
        <w:rPr>
          <w:rStyle w:val="eop"/>
          <w:rFonts w:ascii="Arial" w:hAnsi="Arial" w:cs="Arial"/>
          <w:color w:val="00B050"/>
          <w:shd w:val="clear" w:color="auto" w:fill="FFFFFF"/>
        </w:rPr>
      </w:pPr>
      <w:bookmarkStart w:id="1" w:name="_Hlk96200141"/>
      <w:r w:rsidRPr="009A7F4C">
        <w:rPr>
          <w:rStyle w:val="eop"/>
          <w:rFonts w:ascii="Arial" w:hAnsi="Arial" w:cs="Arial"/>
          <w:color w:val="00B050"/>
          <w:shd w:val="clear" w:color="auto" w:fill="FFFFFF"/>
        </w:rPr>
        <w:t xml:space="preserve">Ref: </w:t>
      </w:r>
      <w:r w:rsidR="76F4C743" w:rsidRPr="009A7F4C">
        <w:rPr>
          <w:rStyle w:val="eop"/>
          <w:rFonts w:ascii="Arial" w:hAnsi="Arial" w:cs="Arial"/>
          <w:color w:val="00B050"/>
          <w:shd w:val="clear" w:color="auto" w:fill="FFFFFF"/>
        </w:rPr>
        <w:t xml:space="preserve">You can learn more </w:t>
      </w:r>
      <w:r w:rsidRPr="009A7F4C">
        <w:rPr>
          <w:rStyle w:val="eop"/>
          <w:rFonts w:ascii="Arial" w:hAnsi="Arial" w:cs="Arial"/>
          <w:color w:val="00B050"/>
          <w:shd w:val="clear" w:color="auto" w:fill="FFFFFF"/>
        </w:rPr>
        <w:t xml:space="preserve">about </w:t>
      </w:r>
      <w:r w:rsidR="009A7F4C" w:rsidRPr="009A7F4C">
        <w:rPr>
          <w:rStyle w:val="eop"/>
          <w:rFonts w:ascii="Arial" w:hAnsi="Arial" w:cs="Arial"/>
          <w:color w:val="00B050"/>
          <w:shd w:val="clear" w:color="auto" w:fill="FFFFFF"/>
        </w:rPr>
        <w:t>c</w:t>
      </w:r>
      <w:r w:rsidRPr="009A7F4C">
        <w:rPr>
          <w:rStyle w:val="eop"/>
          <w:rFonts w:ascii="Arial" w:hAnsi="Arial" w:cs="Arial"/>
          <w:color w:val="00B050"/>
          <w:shd w:val="clear" w:color="auto" w:fill="FFFFFF"/>
        </w:rPr>
        <w:t xml:space="preserve">oercion to share online record access in the </w:t>
      </w:r>
      <w:r w:rsidR="009A7F4C" w:rsidRPr="009A7F4C">
        <w:rPr>
          <w:rStyle w:val="eop"/>
          <w:rFonts w:ascii="Arial" w:hAnsi="Arial" w:cs="Arial"/>
          <w:color w:val="00B050"/>
          <w:shd w:val="clear" w:color="auto" w:fill="FFFFFF"/>
        </w:rPr>
        <w:t>“</w:t>
      </w:r>
      <w:r w:rsidRPr="009A7F4C">
        <w:rPr>
          <w:rStyle w:val="eop"/>
          <w:rFonts w:ascii="Arial" w:hAnsi="Arial" w:cs="Arial"/>
          <w:color w:val="00B050"/>
          <w:shd w:val="clear" w:color="auto" w:fill="FFFFFF"/>
        </w:rPr>
        <w:t>Coercion</w:t>
      </w:r>
      <w:r w:rsidR="009A7F4C" w:rsidRPr="009A7F4C">
        <w:rPr>
          <w:rStyle w:val="eop"/>
          <w:rFonts w:ascii="Arial" w:hAnsi="Arial" w:cs="Arial"/>
          <w:color w:val="00B050"/>
          <w:shd w:val="clear" w:color="auto" w:fill="FFFFFF"/>
        </w:rPr>
        <w:t>”</w:t>
      </w:r>
      <w:r w:rsidRPr="009A7F4C">
        <w:rPr>
          <w:rStyle w:val="eop"/>
          <w:rFonts w:ascii="Arial" w:hAnsi="Arial" w:cs="Arial"/>
          <w:color w:val="00B050"/>
          <w:shd w:val="clear" w:color="auto" w:fill="FFFFFF"/>
        </w:rPr>
        <w:t xml:space="preserve"> guidance in the Toolkit.</w:t>
      </w:r>
    </w:p>
    <w:p w14:paraId="170AE5F4" w14:textId="441116FD" w:rsidR="005560DF" w:rsidRPr="008D3D44" w:rsidRDefault="181884DF" w:rsidP="00AC48E2">
      <w:pPr>
        <w:spacing w:before="120" w:after="0" w:line="288" w:lineRule="auto"/>
        <w:rPr>
          <w:rStyle w:val="eop"/>
          <w:rFonts w:ascii="Arial" w:hAnsi="Arial" w:cs="Arial"/>
          <w:color w:val="000000"/>
          <w:shd w:val="clear" w:color="auto" w:fill="FFFFFF"/>
        </w:rPr>
      </w:pPr>
      <w:r>
        <w:rPr>
          <w:rStyle w:val="eop"/>
          <w:rFonts w:ascii="Arial" w:hAnsi="Arial" w:cs="Arial"/>
          <w:color w:val="000000"/>
          <w:shd w:val="clear" w:color="auto" w:fill="FFFFFF"/>
        </w:rPr>
        <w:t xml:space="preserve">By gaining access to their victim’s GP </w:t>
      </w:r>
      <w:r w:rsidR="09467F73">
        <w:rPr>
          <w:rStyle w:val="eop"/>
          <w:rFonts w:ascii="Arial" w:hAnsi="Arial" w:cs="Arial"/>
          <w:color w:val="000000"/>
          <w:shd w:val="clear" w:color="auto" w:fill="FFFFFF"/>
        </w:rPr>
        <w:t>Online Services</w:t>
      </w:r>
      <w:r>
        <w:rPr>
          <w:rStyle w:val="eop"/>
          <w:rFonts w:ascii="Arial" w:hAnsi="Arial" w:cs="Arial"/>
          <w:color w:val="000000"/>
          <w:shd w:val="clear" w:color="auto" w:fill="FFFFFF"/>
        </w:rPr>
        <w:t>, perpetrators of abuse can</w:t>
      </w:r>
    </w:p>
    <w:p w14:paraId="32CE799F" w14:textId="6E61809F" w:rsidR="005560DF" w:rsidRPr="00AA5672" w:rsidRDefault="00AA5672" w:rsidP="009A7F4C">
      <w:pPr>
        <w:pStyle w:val="ListParagraph"/>
        <w:numPr>
          <w:ilvl w:val="0"/>
          <w:numId w:val="3"/>
        </w:numPr>
        <w:spacing w:before="60" w:after="0" w:line="288" w:lineRule="auto"/>
        <w:ind w:left="714" w:hanging="357"/>
        <w:contextualSpacing w:val="0"/>
        <w:rPr>
          <w:rStyle w:val="eop"/>
          <w:rFonts w:ascii="Arial" w:eastAsiaTheme="minorEastAsia" w:hAnsi="Arial" w:cs="Arial"/>
          <w:color w:val="000000"/>
          <w:shd w:val="clear" w:color="auto" w:fill="FFFFFF"/>
        </w:rPr>
      </w:pPr>
      <w:r>
        <w:rPr>
          <w:rStyle w:val="eop"/>
          <w:rFonts w:ascii="Arial" w:hAnsi="Arial" w:cs="Arial"/>
          <w:color w:val="000000"/>
          <w:shd w:val="clear" w:color="auto" w:fill="FFFFFF"/>
        </w:rPr>
        <w:t>S</w:t>
      </w:r>
      <w:r w:rsidR="005560DF" w:rsidRPr="008D3D44">
        <w:rPr>
          <w:rStyle w:val="eop"/>
          <w:rFonts w:ascii="Arial" w:hAnsi="Arial" w:cs="Arial"/>
          <w:color w:val="000000"/>
          <w:shd w:val="clear" w:color="auto" w:fill="FFFFFF"/>
        </w:rPr>
        <w:t>ee what their victim has informed the</w:t>
      </w:r>
      <w:r>
        <w:rPr>
          <w:rStyle w:val="eop"/>
          <w:rFonts w:ascii="Arial" w:hAnsi="Arial" w:cs="Arial"/>
          <w:color w:val="000000"/>
          <w:shd w:val="clear" w:color="auto" w:fill="FFFFFF"/>
        </w:rPr>
        <w:t>ir</w:t>
      </w:r>
      <w:r w:rsidR="005560DF" w:rsidRPr="008D3D44">
        <w:rPr>
          <w:rStyle w:val="eop"/>
          <w:rFonts w:ascii="Arial" w:hAnsi="Arial" w:cs="Arial"/>
          <w:color w:val="000000"/>
          <w:shd w:val="clear" w:color="auto" w:fill="FFFFFF"/>
        </w:rPr>
        <w:t xml:space="preserve"> clinician in a consultation </w:t>
      </w:r>
      <w:r>
        <w:rPr>
          <w:rStyle w:val="eop"/>
          <w:rFonts w:ascii="Arial" w:hAnsi="Arial" w:cs="Arial"/>
          <w:color w:val="000000"/>
          <w:shd w:val="clear" w:color="auto" w:fill="FFFFFF"/>
        </w:rPr>
        <w:t xml:space="preserve">or from evidence in documents from other sources such as psychiatrists, the police or child protection services to see if they have disclosed their </w:t>
      </w:r>
      <w:r w:rsidR="005560DF" w:rsidRPr="008D3D44">
        <w:rPr>
          <w:rStyle w:val="eop"/>
          <w:rFonts w:ascii="Arial" w:hAnsi="Arial" w:cs="Arial"/>
          <w:color w:val="000000"/>
          <w:shd w:val="clear" w:color="auto" w:fill="FFFFFF"/>
        </w:rPr>
        <w:t xml:space="preserve">abuse. </w:t>
      </w:r>
    </w:p>
    <w:p w14:paraId="4DB8A303" w14:textId="5EABD2FB" w:rsidR="005560DF" w:rsidRPr="008D3D44" w:rsidRDefault="181884DF" w:rsidP="0D40289F">
      <w:pPr>
        <w:pStyle w:val="ListParagraph"/>
        <w:numPr>
          <w:ilvl w:val="0"/>
          <w:numId w:val="3"/>
        </w:numPr>
        <w:spacing w:before="60" w:after="0" w:line="288" w:lineRule="auto"/>
        <w:ind w:left="714" w:hanging="357"/>
        <w:rPr>
          <w:rStyle w:val="eop"/>
          <w:rFonts w:ascii="Arial" w:hAnsi="Arial" w:cs="Arial"/>
          <w:color w:val="000000"/>
          <w:shd w:val="clear" w:color="auto" w:fill="FFFFFF"/>
        </w:rPr>
      </w:pPr>
      <w:r>
        <w:rPr>
          <w:rStyle w:val="eop"/>
          <w:rFonts w:ascii="Arial" w:hAnsi="Arial" w:cs="Arial"/>
          <w:color w:val="000000"/>
          <w:shd w:val="clear" w:color="auto" w:fill="FFFFFF"/>
        </w:rPr>
        <w:t>S</w:t>
      </w:r>
      <w:r w:rsidR="76F4C743" w:rsidRPr="008D3D44">
        <w:rPr>
          <w:rStyle w:val="eop"/>
          <w:rFonts w:ascii="Arial" w:hAnsi="Arial" w:cs="Arial"/>
          <w:color w:val="000000"/>
          <w:shd w:val="clear" w:color="auto" w:fill="FFFFFF"/>
        </w:rPr>
        <w:t xml:space="preserve">ee </w:t>
      </w:r>
      <w:r>
        <w:rPr>
          <w:rStyle w:val="eop"/>
          <w:rFonts w:ascii="Arial" w:hAnsi="Arial" w:cs="Arial"/>
          <w:color w:val="000000"/>
          <w:shd w:val="clear" w:color="auto" w:fill="FFFFFF"/>
        </w:rPr>
        <w:t>if</w:t>
      </w:r>
      <w:r w:rsidR="76F4C743" w:rsidRPr="008D3D44">
        <w:rPr>
          <w:rStyle w:val="eop"/>
          <w:rFonts w:ascii="Arial" w:hAnsi="Arial" w:cs="Arial"/>
          <w:color w:val="000000"/>
          <w:shd w:val="clear" w:color="auto" w:fill="FFFFFF"/>
        </w:rPr>
        <w:t xml:space="preserve"> their victim has accessed healthcare for any reason </w:t>
      </w:r>
      <w:proofErr w:type="gramStart"/>
      <w:r w:rsidR="00A53C70" w:rsidRPr="008D3D44">
        <w:rPr>
          <w:rStyle w:val="eop"/>
          <w:rFonts w:ascii="Arial" w:hAnsi="Arial" w:cs="Arial"/>
          <w:color w:val="000000"/>
          <w:shd w:val="clear" w:color="auto" w:fill="FFFFFF"/>
        </w:rPr>
        <w:t>e.g.</w:t>
      </w:r>
      <w:proofErr w:type="gramEnd"/>
      <w:r w:rsidR="76F4C743" w:rsidRPr="008D3D44">
        <w:rPr>
          <w:rStyle w:val="eop"/>
          <w:rFonts w:ascii="Arial" w:hAnsi="Arial" w:cs="Arial"/>
          <w:color w:val="000000"/>
          <w:shd w:val="clear" w:color="auto" w:fill="FFFFFF"/>
        </w:rPr>
        <w:t xml:space="preserve"> </w:t>
      </w:r>
      <w:r>
        <w:rPr>
          <w:rStyle w:val="eop"/>
          <w:rFonts w:ascii="Arial" w:hAnsi="Arial" w:cs="Arial"/>
          <w:color w:val="000000"/>
          <w:shd w:val="clear" w:color="auto" w:fill="FFFFFF"/>
        </w:rPr>
        <w:t>if their</w:t>
      </w:r>
      <w:r w:rsidR="76F4C743" w:rsidRPr="008D3D44">
        <w:rPr>
          <w:rStyle w:val="eop"/>
          <w:rFonts w:ascii="Arial" w:hAnsi="Arial" w:cs="Arial"/>
          <w:color w:val="000000"/>
          <w:shd w:val="clear" w:color="auto" w:fill="FFFFFF"/>
        </w:rPr>
        <w:t xml:space="preserve"> victim has come to a GP for contraception when their perpetrator has told them they </w:t>
      </w:r>
      <w:r>
        <w:rPr>
          <w:rStyle w:val="eop"/>
          <w:rFonts w:ascii="Arial" w:hAnsi="Arial" w:cs="Arial"/>
          <w:color w:val="000000"/>
          <w:shd w:val="clear" w:color="auto" w:fill="FFFFFF"/>
        </w:rPr>
        <w:t>are not to go</w:t>
      </w:r>
      <w:r w:rsidR="76F4C743" w:rsidRPr="008D3D44">
        <w:rPr>
          <w:rStyle w:val="eop"/>
          <w:rFonts w:ascii="Arial" w:hAnsi="Arial" w:cs="Arial"/>
          <w:color w:val="000000"/>
          <w:shd w:val="clear" w:color="auto" w:fill="FFFFFF"/>
        </w:rPr>
        <w:t xml:space="preserve"> on contraception</w:t>
      </w:r>
      <w:r>
        <w:rPr>
          <w:rStyle w:val="eop"/>
          <w:rFonts w:ascii="Arial" w:hAnsi="Arial" w:cs="Arial"/>
          <w:color w:val="000000"/>
          <w:shd w:val="clear" w:color="auto" w:fill="FFFFFF"/>
        </w:rPr>
        <w:t>.</w:t>
      </w:r>
      <w:r w:rsidR="76F4C743" w:rsidRPr="008D3D44">
        <w:rPr>
          <w:rStyle w:val="eop"/>
          <w:rFonts w:ascii="Arial" w:hAnsi="Arial" w:cs="Arial"/>
          <w:color w:val="000000"/>
          <w:shd w:val="clear" w:color="auto" w:fill="FFFFFF"/>
        </w:rPr>
        <w:t xml:space="preserve"> </w:t>
      </w:r>
    </w:p>
    <w:p w14:paraId="5F746DEE" w14:textId="0EA6E56B" w:rsidR="00C236EF" w:rsidRPr="008D3D44" w:rsidRDefault="00AA5672" w:rsidP="009A7F4C">
      <w:pPr>
        <w:pStyle w:val="ListParagraph"/>
        <w:numPr>
          <w:ilvl w:val="0"/>
          <w:numId w:val="3"/>
        </w:numPr>
        <w:spacing w:before="60" w:after="0" w:line="288" w:lineRule="auto"/>
        <w:ind w:left="714" w:hanging="357"/>
        <w:contextualSpacing w:val="0"/>
        <w:rPr>
          <w:rStyle w:val="eop"/>
          <w:rFonts w:ascii="Arial" w:hAnsi="Arial" w:cs="Arial"/>
          <w:color w:val="000000"/>
          <w:shd w:val="clear" w:color="auto" w:fill="FFFFFF"/>
        </w:rPr>
      </w:pPr>
      <w:r>
        <w:rPr>
          <w:rStyle w:val="eop"/>
          <w:rFonts w:ascii="Arial" w:hAnsi="Arial" w:cs="Arial"/>
          <w:color w:val="000000"/>
          <w:shd w:val="clear" w:color="auto" w:fill="FFFFFF"/>
        </w:rPr>
        <w:t>Infer</w:t>
      </w:r>
      <w:r w:rsidR="00C236EF" w:rsidRPr="008D3D44">
        <w:rPr>
          <w:rStyle w:val="eop"/>
          <w:rFonts w:ascii="Arial" w:hAnsi="Arial" w:cs="Arial"/>
          <w:color w:val="000000"/>
          <w:shd w:val="clear" w:color="auto" w:fill="FFFFFF"/>
        </w:rPr>
        <w:t xml:space="preserve"> that their victim has disclosed abuse if a consultation has </w:t>
      </w:r>
      <w:r>
        <w:rPr>
          <w:rStyle w:val="eop"/>
          <w:rFonts w:ascii="Arial" w:hAnsi="Arial" w:cs="Arial"/>
          <w:color w:val="000000"/>
          <w:shd w:val="clear" w:color="auto" w:fill="FFFFFF"/>
        </w:rPr>
        <w:t xml:space="preserve">clearly </w:t>
      </w:r>
      <w:r w:rsidR="00C236EF" w:rsidRPr="008D3D44">
        <w:rPr>
          <w:rStyle w:val="eop"/>
          <w:rFonts w:ascii="Arial" w:hAnsi="Arial" w:cs="Arial"/>
          <w:color w:val="000000"/>
          <w:shd w:val="clear" w:color="auto" w:fill="FFFFFF"/>
        </w:rPr>
        <w:t>been redacted from online view</w:t>
      </w:r>
    </w:p>
    <w:p w14:paraId="3F529011" w14:textId="20F3C125" w:rsidR="005560DF" w:rsidRPr="008D3D44" w:rsidRDefault="00AA5672" w:rsidP="009A7F4C">
      <w:pPr>
        <w:pStyle w:val="ListParagraph"/>
        <w:numPr>
          <w:ilvl w:val="0"/>
          <w:numId w:val="3"/>
        </w:numPr>
        <w:spacing w:before="60" w:after="0" w:line="288" w:lineRule="auto"/>
        <w:ind w:left="714" w:hanging="357"/>
        <w:contextualSpacing w:val="0"/>
        <w:rPr>
          <w:rStyle w:val="eop"/>
          <w:rFonts w:ascii="Arial" w:hAnsi="Arial" w:cs="Arial"/>
          <w:color w:val="000000"/>
          <w:shd w:val="clear" w:color="auto" w:fill="FFFFFF"/>
        </w:rPr>
      </w:pPr>
      <w:r>
        <w:rPr>
          <w:rStyle w:val="eop"/>
          <w:rFonts w:ascii="Arial" w:hAnsi="Arial" w:cs="Arial"/>
          <w:color w:val="000000"/>
          <w:shd w:val="clear" w:color="auto" w:fill="FFFFFF"/>
        </w:rPr>
        <w:t>Learn</w:t>
      </w:r>
      <w:r w:rsidR="005560DF" w:rsidRPr="008D3D44">
        <w:rPr>
          <w:rStyle w:val="eop"/>
          <w:rFonts w:ascii="Arial" w:hAnsi="Arial" w:cs="Arial"/>
          <w:color w:val="000000"/>
          <w:shd w:val="clear" w:color="auto" w:fill="FFFFFF"/>
        </w:rPr>
        <w:t xml:space="preserve"> through information in </w:t>
      </w:r>
      <w:r>
        <w:rPr>
          <w:rStyle w:val="eop"/>
          <w:rFonts w:ascii="Arial" w:hAnsi="Arial" w:cs="Arial"/>
          <w:color w:val="000000"/>
          <w:shd w:val="clear" w:color="auto" w:fill="FFFFFF"/>
        </w:rPr>
        <w:t xml:space="preserve">consultations or reports in </w:t>
      </w:r>
      <w:r w:rsidR="005560DF" w:rsidRPr="008D3D44">
        <w:rPr>
          <w:rStyle w:val="eop"/>
          <w:rFonts w:ascii="Arial" w:hAnsi="Arial" w:cs="Arial"/>
          <w:color w:val="000000"/>
          <w:shd w:val="clear" w:color="auto" w:fill="FFFFFF"/>
        </w:rPr>
        <w:t>their own record</w:t>
      </w:r>
      <w:r w:rsidR="003B2863" w:rsidRPr="008D3D44">
        <w:rPr>
          <w:rStyle w:val="eop"/>
          <w:rFonts w:ascii="Arial" w:hAnsi="Arial" w:cs="Arial"/>
          <w:color w:val="000000"/>
          <w:shd w:val="clear" w:color="auto" w:fill="FFFFFF"/>
        </w:rPr>
        <w:t xml:space="preserve">, or in their children's records, </w:t>
      </w:r>
      <w:r w:rsidR="005560DF" w:rsidRPr="008D3D44">
        <w:rPr>
          <w:rStyle w:val="eop"/>
          <w:rFonts w:ascii="Arial" w:hAnsi="Arial" w:cs="Arial"/>
          <w:color w:val="000000"/>
          <w:shd w:val="clear" w:color="auto" w:fill="FFFFFF"/>
        </w:rPr>
        <w:t>that their victim has disclosed abuse</w:t>
      </w:r>
      <w:r w:rsidR="00AD39F0" w:rsidRPr="008D3D44">
        <w:rPr>
          <w:rStyle w:val="eop"/>
          <w:rFonts w:ascii="Arial" w:hAnsi="Arial" w:cs="Arial"/>
          <w:color w:val="000000"/>
          <w:shd w:val="clear" w:color="auto" w:fill="FFFFFF"/>
        </w:rPr>
        <w:t xml:space="preserve"> or accessed healthcare without their knowledge</w:t>
      </w:r>
      <w:r w:rsidR="00C236EF" w:rsidRPr="008D3D44">
        <w:rPr>
          <w:rStyle w:val="eop"/>
          <w:rFonts w:ascii="Arial" w:hAnsi="Arial" w:cs="Arial"/>
          <w:color w:val="000000"/>
          <w:shd w:val="clear" w:color="auto" w:fill="FFFFFF"/>
        </w:rPr>
        <w:t>.</w:t>
      </w:r>
    </w:p>
    <w:p w14:paraId="5D6DBE2E" w14:textId="2D905756" w:rsidR="005560DF" w:rsidRPr="008D3D44" w:rsidRDefault="005560DF" w:rsidP="00AC48E2">
      <w:pPr>
        <w:spacing w:before="120" w:after="0" w:line="288" w:lineRule="auto"/>
        <w:rPr>
          <w:rStyle w:val="eop"/>
          <w:rFonts w:ascii="Arial" w:hAnsi="Arial" w:cs="Arial"/>
          <w:color w:val="000000"/>
          <w:shd w:val="clear" w:color="auto" w:fill="FFFFFF"/>
        </w:rPr>
      </w:pPr>
      <w:r w:rsidRPr="008D3D44">
        <w:rPr>
          <w:rStyle w:val="eop"/>
          <w:rFonts w:ascii="Arial" w:hAnsi="Arial" w:cs="Arial"/>
          <w:color w:val="000000"/>
          <w:shd w:val="clear" w:color="auto" w:fill="FFFFFF"/>
        </w:rPr>
        <w:t>Perpetrators could see this information by a variety of means:</w:t>
      </w:r>
    </w:p>
    <w:p w14:paraId="5625DB07" w14:textId="017A34A7" w:rsidR="005560DF" w:rsidRPr="008D3D44" w:rsidRDefault="005560DF" w:rsidP="009A7F4C">
      <w:pPr>
        <w:pStyle w:val="ListParagraph"/>
        <w:numPr>
          <w:ilvl w:val="0"/>
          <w:numId w:val="4"/>
        </w:numPr>
        <w:spacing w:before="60" w:after="0" w:line="288" w:lineRule="auto"/>
        <w:ind w:left="714" w:hanging="357"/>
        <w:contextualSpacing w:val="0"/>
        <w:rPr>
          <w:rStyle w:val="eop"/>
          <w:rFonts w:ascii="Arial" w:hAnsi="Arial" w:cs="Arial"/>
          <w:color w:val="000000"/>
          <w:shd w:val="clear" w:color="auto" w:fill="FFFFFF"/>
        </w:rPr>
      </w:pPr>
      <w:r w:rsidRPr="008D3D44">
        <w:rPr>
          <w:rStyle w:val="eop"/>
          <w:rFonts w:ascii="Arial" w:hAnsi="Arial" w:cs="Arial"/>
          <w:color w:val="000000"/>
          <w:shd w:val="clear" w:color="auto" w:fill="FFFFFF"/>
        </w:rPr>
        <w:t>Coercing the victim into sharing their login details</w:t>
      </w:r>
      <w:r w:rsidR="00C236EF" w:rsidRPr="008D3D44">
        <w:rPr>
          <w:rStyle w:val="eop"/>
          <w:rFonts w:ascii="Arial" w:hAnsi="Arial" w:cs="Arial"/>
          <w:color w:val="000000"/>
          <w:shd w:val="clear" w:color="auto" w:fill="FFFFFF"/>
        </w:rPr>
        <w:t xml:space="preserve"> and record</w:t>
      </w:r>
    </w:p>
    <w:p w14:paraId="0550801A" w14:textId="77777777" w:rsidR="005560DF" w:rsidRPr="008D3D44" w:rsidRDefault="005560DF" w:rsidP="009A7F4C">
      <w:pPr>
        <w:pStyle w:val="ListParagraph"/>
        <w:numPr>
          <w:ilvl w:val="0"/>
          <w:numId w:val="4"/>
        </w:numPr>
        <w:spacing w:before="60" w:after="0" w:line="288" w:lineRule="auto"/>
        <w:ind w:left="714" w:hanging="357"/>
        <w:contextualSpacing w:val="0"/>
        <w:rPr>
          <w:rStyle w:val="eop"/>
          <w:rFonts w:ascii="Arial" w:hAnsi="Arial" w:cs="Arial"/>
          <w:color w:val="000000"/>
          <w:shd w:val="clear" w:color="auto" w:fill="FFFFFF"/>
        </w:rPr>
      </w:pPr>
      <w:r w:rsidRPr="008D3D44">
        <w:rPr>
          <w:rStyle w:val="eop"/>
          <w:rFonts w:ascii="Arial" w:hAnsi="Arial" w:cs="Arial"/>
          <w:color w:val="000000"/>
          <w:shd w:val="clear" w:color="auto" w:fill="FFFFFF"/>
        </w:rPr>
        <w:t>Sharing the same electronic devices as the victim</w:t>
      </w:r>
    </w:p>
    <w:p w14:paraId="7C4F0FC7" w14:textId="1C794077" w:rsidR="005560DF" w:rsidRPr="008D3D44" w:rsidRDefault="76F4C743" w:rsidP="0D40289F">
      <w:pPr>
        <w:pStyle w:val="ListParagraph"/>
        <w:numPr>
          <w:ilvl w:val="0"/>
          <w:numId w:val="4"/>
        </w:numPr>
        <w:spacing w:before="60" w:after="0" w:line="288" w:lineRule="auto"/>
        <w:ind w:left="714" w:hanging="357"/>
        <w:rPr>
          <w:rStyle w:val="eop"/>
          <w:rFonts w:ascii="Arial" w:hAnsi="Arial" w:cs="Arial"/>
          <w:color w:val="000000"/>
          <w:shd w:val="clear" w:color="auto" w:fill="FFFFFF"/>
        </w:rPr>
      </w:pPr>
      <w:r w:rsidRPr="008D3D44">
        <w:rPr>
          <w:rStyle w:val="eop"/>
          <w:rFonts w:ascii="Arial" w:hAnsi="Arial" w:cs="Arial"/>
          <w:color w:val="000000"/>
          <w:shd w:val="clear" w:color="auto" w:fill="FFFFFF"/>
        </w:rPr>
        <w:t>Setting up online access without the victim even being aware</w:t>
      </w:r>
      <w:r w:rsidR="181884DF">
        <w:rPr>
          <w:rStyle w:val="eop"/>
          <w:rFonts w:ascii="Arial" w:hAnsi="Arial" w:cs="Arial"/>
          <w:color w:val="000000"/>
          <w:shd w:val="clear" w:color="auto" w:fill="FFFFFF"/>
        </w:rPr>
        <w:t>, for example if a perpetrator has been inadvertently given access to transactional GP</w:t>
      </w:r>
      <w:r w:rsidR="00674C51">
        <w:rPr>
          <w:rStyle w:val="eop"/>
          <w:rFonts w:ascii="Arial" w:hAnsi="Arial" w:cs="Arial"/>
          <w:color w:val="000000"/>
          <w:shd w:val="clear" w:color="auto" w:fill="FFFFFF"/>
        </w:rPr>
        <w:t xml:space="preserve"> s</w:t>
      </w:r>
      <w:r w:rsidR="1A7EEE2A">
        <w:rPr>
          <w:rStyle w:val="eop"/>
          <w:rFonts w:ascii="Arial" w:hAnsi="Arial" w:cs="Arial"/>
          <w:color w:val="000000"/>
          <w:shd w:val="clear" w:color="auto" w:fill="FFFFFF"/>
        </w:rPr>
        <w:t>ervices</w:t>
      </w:r>
      <w:r w:rsidR="181884DF">
        <w:rPr>
          <w:rStyle w:val="eop"/>
          <w:rFonts w:ascii="Arial" w:hAnsi="Arial" w:cs="Arial"/>
          <w:color w:val="000000"/>
          <w:shd w:val="clear" w:color="auto" w:fill="FFFFFF"/>
        </w:rPr>
        <w:t xml:space="preserve"> for appointment booking or requesting prescriptions, with automatic online record access, they will automatically have access to their victim’s prospective record.</w:t>
      </w:r>
    </w:p>
    <w:p w14:paraId="001D3730" w14:textId="331127F3" w:rsidR="005560DF" w:rsidRPr="008D3D44" w:rsidRDefault="005560DF" w:rsidP="00AC48E2">
      <w:pPr>
        <w:spacing w:before="120" w:after="0" w:line="288" w:lineRule="auto"/>
        <w:rPr>
          <w:rFonts w:ascii="Arial" w:hAnsi="Arial" w:cs="Arial"/>
        </w:rPr>
      </w:pPr>
      <w:r w:rsidRPr="008D3D44">
        <w:rPr>
          <w:rFonts w:ascii="Arial" w:hAnsi="Arial" w:cs="Arial"/>
        </w:rPr>
        <w:t>This can have the following impact</w:t>
      </w:r>
      <w:r w:rsidR="00D455F1">
        <w:rPr>
          <w:rFonts w:ascii="Arial" w:hAnsi="Arial" w:cs="Arial"/>
        </w:rPr>
        <w:t xml:space="preserve"> on the victim</w:t>
      </w:r>
      <w:r w:rsidRPr="008D3D44">
        <w:rPr>
          <w:rFonts w:ascii="Arial" w:hAnsi="Arial" w:cs="Arial"/>
        </w:rPr>
        <w:t>:</w:t>
      </w:r>
    </w:p>
    <w:p w14:paraId="7BDAE382" w14:textId="33A89FFE" w:rsidR="005560DF" w:rsidRPr="008D3D44" w:rsidRDefault="00D455F1" w:rsidP="009A7F4C">
      <w:pPr>
        <w:pStyle w:val="ListParagraph"/>
        <w:numPr>
          <w:ilvl w:val="0"/>
          <w:numId w:val="5"/>
        </w:numPr>
        <w:spacing w:before="60" w:after="0" w:line="288" w:lineRule="auto"/>
        <w:ind w:left="714" w:hanging="357"/>
        <w:contextualSpacing w:val="0"/>
        <w:rPr>
          <w:rFonts w:ascii="Arial" w:hAnsi="Arial" w:cs="Arial"/>
        </w:rPr>
      </w:pPr>
      <w:r w:rsidRPr="3DD11A09">
        <w:rPr>
          <w:rFonts w:ascii="Arial" w:hAnsi="Arial" w:cs="Arial"/>
        </w:rPr>
        <w:t>A</w:t>
      </w:r>
      <w:r w:rsidR="005560DF" w:rsidRPr="3DD11A09">
        <w:rPr>
          <w:rFonts w:ascii="Arial" w:hAnsi="Arial" w:cs="Arial"/>
        </w:rPr>
        <w:t xml:space="preserve">n increased risk of harm </w:t>
      </w:r>
      <w:r w:rsidR="00C236EF" w:rsidRPr="3DD11A09">
        <w:rPr>
          <w:rFonts w:ascii="Arial" w:hAnsi="Arial" w:cs="Arial"/>
        </w:rPr>
        <w:t>from</w:t>
      </w:r>
      <w:r w:rsidR="005560DF" w:rsidRPr="3DD11A09">
        <w:rPr>
          <w:rFonts w:ascii="Arial" w:hAnsi="Arial" w:cs="Arial"/>
        </w:rPr>
        <w:t xml:space="preserve"> their perpetrator as 'punishment' for disclosing abuse. In high-risk abuse situations, this could mean an increased risk of severe violence or even death. This risk may also apply to any children in the situation – increased risk to an adult victim can also mean an increase</w:t>
      </w:r>
      <w:r w:rsidRPr="3DD11A09">
        <w:rPr>
          <w:rFonts w:ascii="Arial" w:hAnsi="Arial" w:cs="Arial"/>
        </w:rPr>
        <w:t>d</w:t>
      </w:r>
      <w:r w:rsidR="005560DF" w:rsidRPr="3DD11A09">
        <w:rPr>
          <w:rFonts w:ascii="Arial" w:hAnsi="Arial" w:cs="Arial"/>
        </w:rPr>
        <w:t xml:space="preserve"> risk to their children. </w:t>
      </w:r>
    </w:p>
    <w:p w14:paraId="5FF47B83" w14:textId="51F2E468" w:rsidR="00AD39F0" w:rsidRPr="008D3D44" w:rsidRDefault="00D455F1" w:rsidP="009A7F4C">
      <w:pPr>
        <w:pStyle w:val="ListParagraph"/>
        <w:numPr>
          <w:ilvl w:val="0"/>
          <w:numId w:val="5"/>
        </w:numPr>
        <w:spacing w:before="60" w:after="0" w:line="288" w:lineRule="auto"/>
        <w:ind w:left="714" w:hanging="357"/>
        <w:contextualSpacing w:val="0"/>
        <w:rPr>
          <w:rFonts w:ascii="Arial" w:hAnsi="Arial" w:cs="Arial"/>
        </w:rPr>
      </w:pPr>
      <w:bookmarkStart w:id="2" w:name="_Hlk96248497"/>
      <w:r w:rsidRPr="3DD11A09">
        <w:rPr>
          <w:rFonts w:ascii="Arial" w:hAnsi="Arial" w:cs="Arial"/>
        </w:rPr>
        <w:lastRenderedPageBreak/>
        <w:t>N</w:t>
      </w:r>
      <w:r w:rsidR="00AD39F0" w:rsidRPr="3DD11A09">
        <w:rPr>
          <w:rFonts w:ascii="Arial" w:hAnsi="Arial" w:cs="Arial"/>
        </w:rPr>
        <w:t>o longer</w:t>
      </w:r>
      <w:r w:rsidR="00107328" w:rsidRPr="3DD11A09">
        <w:rPr>
          <w:rFonts w:ascii="Arial" w:hAnsi="Arial" w:cs="Arial"/>
        </w:rPr>
        <w:t xml:space="preserve"> being</w:t>
      </w:r>
      <w:r w:rsidR="00AD39F0" w:rsidRPr="3DD11A09">
        <w:rPr>
          <w:rFonts w:ascii="Arial" w:hAnsi="Arial" w:cs="Arial"/>
        </w:rPr>
        <w:t xml:space="preserve"> allowed to access healthcare at all, or the perpetrator will always insist on attending with them.</w:t>
      </w:r>
    </w:p>
    <w:bookmarkEnd w:id="2"/>
    <w:p w14:paraId="1756DF7A" w14:textId="2A92401A" w:rsidR="005560DF" w:rsidRPr="008D3D44" w:rsidRDefault="00D455F1" w:rsidP="009A7F4C">
      <w:pPr>
        <w:pStyle w:val="ListParagraph"/>
        <w:numPr>
          <w:ilvl w:val="0"/>
          <w:numId w:val="5"/>
        </w:numPr>
        <w:spacing w:before="60" w:after="0" w:line="288" w:lineRule="auto"/>
        <w:ind w:left="714" w:hanging="357"/>
        <w:contextualSpacing w:val="0"/>
        <w:rPr>
          <w:rFonts w:ascii="Arial" w:hAnsi="Arial" w:cs="Arial"/>
        </w:rPr>
      </w:pPr>
      <w:r w:rsidRPr="5B45B217">
        <w:rPr>
          <w:rFonts w:ascii="Arial" w:hAnsi="Arial" w:cs="Arial"/>
        </w:rPr>
        <w:t>N</w:t>
      </w:r>
      <w:r w:rsidR="005560DF" w:rsidRPr="5B45B217">
        <w:rPr>
          <w:rFonts w:ascii="Arial" w:hAnsi="Arial" w:cs="Arial"/>
        </w:rPr>
        <w:t>o longer feel</w:t>
      </w:r>
      <w:r w:rsidR="00107328" w:rsidRPr="5B45B217">
        <w:rPr>
          <w:rFonts w:ascii="Arial" w:hAnsi="Arial" w:cs="Arial"/>
        </w:rPr>
        <w:t>ing</w:t>
      </w:r>
      <w:r w:rsidR="005560DF" w:rsidRPr="5B45B217">
        <w:rPr>
          <w:rFonts w:ascii="Arial" w:hAnsi="Arial" w:cs="Arial"/>
        </w:rPr>
        <w:t xml:space="preserve"> safe to disclose abuse to a healthcare professional therefore </w:t>
      </w:r>
      <w:r w:rsidR="00107328" w:rsidRPr="5B45B217">
        <w:rPr>
          <w:rFonts w:ascii="Arial" w:hAnsi="Arial" w:cs="Arial"/>
        </w:rPr>
        <w:t>not</w:t>
      </w:r>
      <w:r w:rsidR="005560DF" w:rsidRPr="5B45B217">
        <w:rPr>
          <w:rFonts w:ascii="Arial" w:hAnsi="Arial" w:cs="Arial"/>
        </w:rPr>
        <w:t xml:space="preserve"> receiv</w:t>
      </w:r>
      <w:r w:rsidR="00107328" w:rsidRPr="5B45B217">
        <w:rPr>
          <w:rFonts w:ascii="Arial" w:hAnsi="Arial" w:cs="Arial"/>
        </w:rPr>
        <w:t>ing</w:t>
      </w:r>
      <w:r w:rsidR="005560DF" w:rsidRPr="5B45B217">
        <w:rPr>
          <w:rFonts w:ascii="Arial" w:hAnsi="Arial" w:cs="Arial"/>
        </w:rPr>
        <w:t xml:space="preserve"> the help, </w:t>
      </w:r>
      <w:proofErr w:type="gramStart"/>
      <w:r w:rsidR="005560DF" w:rsidRPr="5B45B217">
        <w:rPr>
          <w:rFonts w:ascii="Arial" w:hAnsi="Arial" w:cs="Arial"/>
        </w:rPr>
        <w:t>support</w:t>
      </w:r>
      <w:proofErr w:type="gramEnd"/>
      <w:r w:rsidR="005560DF" w:rsidRPr="5B45B217">
        <w:rPr>
          <w:rFonts w:ascii="Arial" w:hAnsi="Arial" w:cs="Arial"/>
        </w:rPr>
        <w:t xml:space="preserve"> and protection they should</w:t>
      </w:r>
      <w:r w:rsidR="003B2863" w:rsidRPr="5B45B217">
        <w:rPr>
          <w:rFonts w:ascii="Arial" w:hAnsi="Arial" w:cs="Arial"/>
        </w:rPr>
        <w:t>.</w:t>
      </w:r>
    </w:p>
    <w:p w14:paraId="50113011" w14:textId="3323487A" w:rsidR="005560DF" w:rsidRPr="008D3D44" w:rsidRDefault="00D455F1" w:rsidP="009A7F4C">
      <w:pPr>
        <w:pStyle w:val="ListParagraph"/>
        <w:numPr>
          <w:ilvl w:val="0"/>
          <w:numId w:val="5"/>
        </w:numPr>
        <w:spacing w:before="60" w:after="0" w:line="288" w:lineRule="auto"/>
        <w:ind w:left="714" w:hanging="357"/>
        <w:contextualSpacing w:val="0"/>
        <w:rPr>
          <w:rFonts w:ascii="Arial" w:hAnsi="Arial" w:cs="Arial"/>
        </w:rPr>
      </w:pPr>
      <w:r w:rsidRPr="3DD11A09">
        <w:rPr>
          <w:rFonts w:ascii="Arial" w:hAnsi="Arial" w:cs="Arial"/>
        </w:rPr>
        <w:t>N</w:t>
      </w:r>
      <w:r w:rsidR="005560DF" w:rsidRPr="3DD11A09">
        <w:rPr>
          <w:rFonts w:ascii="Arial" w:hAnsi="Arial" w:cs="Arial"/>
        </w:rPr>
        <w:t>o longer see</w:t>
      </w:r>
      <w:r w:rsidR="00107328" w:rsidRPr="3DD11A09">
        <w:rPr>
          <w:rFonts w:ascii="Arial" w:hAnsi="Arial" w:cs="Arial"/>
        </w:rPr>
        <w:t>ing</w:t>
      </w:r>
      <w:r w:rsidR="005560DF" w:rsidRPr="3DD11A09">
        <w:rPr>
          <w:rFonts w:ascii="Arial" w:hAnsi="Arial" w:cs="Arial"/>
        </w:rPr>
        <w:t xml:space="preserve"> healthcare settings as safe places therefore </w:t>
      </w:r>
      <w:r w:rsidR="00716EDC" w:rsidRPr="3DD11A09">
        <w:rPr>
          <w:rFonts w:ascii="Arial" w:hAnsi="Arial" w:cs="Arial"/>
        </w:rPr>
        <w:t>not seeking</w:t>
      </w:r>
      <w:r w:rsidR="005560DF" w:rsidRPr="3DD11A09">
        <w:rPr>
          <w:rFonts w:ascii="Arial" w:hAnsi="Arial" w:cs="Arial"/>
        </w:rPr>
        <w:t xml:space="preserve"> help for any health issue which could result in poorer health outcomes</w:t>
      </w:r>
      <w:r w:rsidR="003B2863" w:rsidRPr="3DD11A09">
        <w:rPr>
          <w:rFonts w:ascii="Arial" w:hAnsi="Arial" w:cs="Arial"/>
        </w:rPr>
        <w:t>.</w:t>
      </w:r>
    </w:p>
    <w:bookmarkEnd w:id="1"/>
    <w:p w14:paraId="4E465B2F" w14:textId="57928A11" w:rsidR="00AA5672" w:rsidRDefault="181884DF" w:rsidP="5F3CA9E2">
      <w:pPr>
        <w:spacing w:before="120" w:after="0" w:line="288" w:lineRule="auto"/>
        <w:rPr>
          <w:rFonts w:ascii="Arial" w:hAnsi="Arial" w:cs="Arial"/>
        </w:rPr>
      </w:pPr>
      <w:r w:rsidRPr="65D5D47B">
        <w:rPr>
          <w:rFonts w:ascii="Arial" w:hAnsi="Arial" w:cs="Arial"/>
          <w:color w:val="00B050"/>
        </w:rPr>
        <w:t xml:space="preserve">Ref: </w:t>
      </w:r>
      <w:r w:rsidR="009A7F4C" w:rsidRPr="65D5D47B">
        <w:rPr>
          <w:rFonts w:ascii="Arial" w:hAnsi="Arial" w:cs="Arial"/>
          <w:color w:val="00B050"/>
        </w:rPr>
        <w:t>T</w:t>
      </w:r>
      <w:r w:rsidRPr="65D5D47B">
        <w:rPr>
          <w:rFonts w:ascii="Arial" w:hAnsi="Arial" w:cs="Arial"/>
          <w:color w:val="00B050"/>
        </w:rPr>
        <w:t xml:space="preserve">here is more information about </w:t>
      </w:r>
      <w:r w:rsidR="009A7F4C" w:rsidRPr="65D5D47B">
        <w:rPr>
          <w:rFonts w:ascii="Arial" w:hAnsi="Arial" w:cs="Arial"/>
          <w:color w:val="00B050"/>
        </w:rPr>
        <w:t>r</w:t>
      </w:r>
      <w:r w:rsidRPr="65D5D47B">
        <w:rPr>
          <w:rFonts w:ascii="Arial" w:hAnsi="Arial" w:cs="Arial"/>
          <w:color w:val="00B050"/>
        </w:rPr>
        <w:t xml:space="preserve">edaction in the guidance on “Managing Potentially Harmful Information” in the Toolkit. </w:t>
      </w:r>
    </w:p>
    <w:p w14:paraId="45AC6C5B" w14:textId="683E9F22" w:rsidR="00AA5672" w:rsidRDefault="00AA5672" w:rsidP="00AA5672">
      <w:pPr>
        <w:spacing w:before="120" w:after="0" w:line="288" w:lineRule="auto"/>
        <w:rPr>
          <w:rFonts w:ascii="Arial" w:hAnsi="Arial" w:cs="Arial"/>
          <w:color w:val="00B050"/>
        </w:rPr>
      </w:pPr>
      <w:r w:rsidRPr="65D5D47B">
        <w:rPr>
          <w:rFonts w:ascii="Arial" w:hAnsi="Arial" w:cs="Arial"/>
          <w:color w:val="00B050"/>
        </w:rPr>
        <w:t xml:space="preserve">Ref: </w:t>
      </w:r>
      <w:r w:rsidR="009A7F4C" w:rsidRPr="65D5D47B">
        <w:rPr>
          <w:rFonts w:ascii="Arial" w:hAnsi="Arial" w:cs="Arial"/>
          <w:color w:val="00B050"/>
        </w:rPr>
        <w:t>T</w:t>
      </w:r>
      <w:r w:rsidRPr="65D5D47B">
        <w:rPr>
          <w:rFonts w:ascii="Arial" w:hAnsi="Arial" w:cs="Arial"/>
          <w:color w:val="00B050"/>
        </w:rPr>
        <w:t xml:space="preserve">here is guidance on </w:t>
      </w:r>
      <w:r w:rsidR="009A7F4C" w:rsidRPr="65D5D47B">
        <w:rPr>
          <w:rFonts w:ascii="Arial" w:hAnsi="Arial" w:cs="Arial"/>
          <w:color w:val="00B050"/>
        </w:rPr>
        <w:t>the effects of</w:t>
      </w:r>
      <w:r w:rsidRPr="65D5D47B">
        <w:rPr>
          <w:rFonts w:ascii="Arial" w:hAnsi="Arial" w:cs="Arial"/>
          <w:color w:val="00B050"/>
        </w:rPr>
        <w:t xml:space="preserve"> the relevant SNOMED </w:t>
      </w:r>
      <w:r w:rsidR="009A7F4C" w:rsidRPr="65D5D47B">
        <w:rPr>
          <w:rFonts w:ascii="Arial" w:hAnsi="Arial" w:cs="Arial"/>
          <w:color w:val="00B050"/>
        </w:rPr>
        <w:t xml:space="preserve">terms on automatic record access in the guidance </w:t>
      </w:r>
      <w:proofErr w:type="gramStart"/>
      <w:r w:rsidR="009A7F4C" w:rsidRPr="65D5D47B">
        <w:rPr>
          <w:rFonts w:ascii="Arial" w:hAnsi="Arial" w:cs="Arial"/>
          <w:color w:val="00B050"/>
        </w:rPr>
        <w:t>on ”SNOMED</w:t>
      </w:r>
      <w:proofErr w:type="gramEnd"/>
      <w:r w:rsidR="009A7F4C" w:rsidRPr="65D5D47B">
        <w:rPr>
          <w:rFonts w:ascii="Arial" w:hAnsi="Arial" w:cs="Arial"/>
          <w:color w:val="00B050"/>
        </w:rPr>
        <w:t xml:space="preserve"> Terms that Control Automatic Record Access</w:t>
      </w:r>
      <w:r w:rsidR="009F5C02" w:rsidRPr="65D5D47B">
        <w:rPr>
          <w:rFonts w:ascii="Arial" w:hAnsi="Arial" w:cs="Arial"/>
          <w:color w:val="00B050"/>
        </w:rPr>
        <w:t>” and in the</w:t>
      </w:r>
      <w:r w:rsidR="00713719" w:rsidRPr="65D5D47B">
        <w:rPr>
          <w:rFonts w:ascii="Arial" w:hAnsi="Arial" w:cs="Arial"/>
          <w:color w:val="00B050"/>
        </w:rPr>
        <w:t xml:space="preserve"> </w:t>
      </w:r>
      <w:r w:rsidRPr="65D5D47B">
        <w:rPr>
          <w:rFonts w:ascii="Arial" w:hAnsi="Arial" w:cs="Arial"/>
          <w:color w:val="00B050"/>
        </w:rPr>
        <w:t>Toolkit.</w:t>
      </w:r>
    </w:p>
    <w:p w14:paraId="6DED1EC9" w14:textId="4965AE96" w:rsidR="00763CD9" w:rsidRPr="00AA5672" w:rsidRDefault="00AA5672" w:rsidP="0D940277">
      <w:pPr>
        <w:pStyle w:val="ListParagraph"/>
        <w:spacing w:before="120" w:after="0" w:line="288" w:lineRule="auto"/>
        <w:ind w:left="0"/>
        <w:rPr>
          <w:rFonts w:ascii="Arial" w:hAnsi="Arial" w:cs="Arial"/>
          <w:color w:val="00B050"/>
        </w:rPr>
      </w:pPr>
      <w:r w:rsidRPr="65D5D47B">
        <w:rPr>
          <w:rFonts w:ascii="Arial" w:hAnsi="Arial" w:cs="Arial"/>
        </w:rPr>
        <w:t xml:space="preserve">If a patient’s automatic record access is restricted, it is essential to continue to redact potentially harmful </w:t>
      </w:r>
      <w:r w:rsidR="00713719" w:rsidRPr="65D5D47B">
        <w:rPr>
          <w:rFonts w:ascii="Arial" w:hAnsi="Arial" w:cs="Arial"/>
        </w:rPr>
        <w:t>information.  T</w:t>
      </w:r>
      <w:r w:rsidRPr="65D5D47B">
        <w:rPr>
          <w:rFonts w:ascii="Arial" w:hAnsi="Arial" w:cs="Arial"/>
        </w:rPr>
        <w:t xml:space="preserve">he record may be unrestricted in the future and unredacted information </w:t>
      </w:r>
      <w:r w:rsidR="00713719" w:rsidRPr="65D5D47B">
        <w:rPr>
          <w:rFonts w:ascii="Arial" w:hAnsi="Arial" w:cs="Arial"/>
        </w:rPr>
        <w:t>may be</w:t>
      </w:r>
      <w:r w:rsidRPr="65D5D47B">
        <w:rPr>
          <w:rFonts w:ascii="Arial" w:hAnsi="Arial" w:cs="Arial"/>
        </w:rPr>
        <w:t xml:space="preserve"> exposed to the perpetrator or another perpetrator. </w:t>
      </w:r>
      <w:r w:rsidR="00713719" w:rsidRPr="65D5D47B">
        <w:rPr>
          <w:rFonts w:ascii="Arial" w:hAnsi="Arial" w:cs="Arial"/>
        </w:rPr>
        <w:t>E</w:t>
      </w:r>
      <w:r w:rsidR="009F5C02" w:rsidRPr="65D5D47B">
        <w:rPr>
          <w:rFonts w:ascii="Arial" w:hAnsi="Arial" w:cs="Arial"/>
        </w:rPr>
        <w:t xml:space="preserve">pisodes of abuse </w:t>
      </w:r>
      <w:r w:rsidR="00713719" w:rsidRPr="65D5D47B">
        <w:rPr>
          <w:rFonts w:ascii="Arial" w:hAnsi="Arial" w:cs="Arial"/>
        </w:rPr>
        <w:t>may</w:t>
      </w:r>
      <w:r w:rsidR="009F5C02" w:rsidRPr="65D5D47B">
        <w:rPr>
          <w:rFonts w:ascii="Arial" w:hAnsi="Arial" w:cs="Arial"/>
        </w:rPr>
        <w:t xml:space="preserve"> </w:t>
      </w:r>
      <w:proofErr w:type="gramStart"/>
      <w:r w:rsidR="009F5C02" w:rsidRPr="65D5D47B">
        <w:rPr>
          <w:rFonts w:ascii="Arial" w:hAnsi="Arial" w:cs="Arial"/>
        </w:rPr>
        <w:t>fluctuate</w:t>
      </w:r>
      <w:proofErr w:type="gramEnd"/>
      <w:r w:rsidR="009F5C02" w:rsidRPr="65D5D47B">
        <w:rPr>
          <w:rFonts w:ascii="Arial" w:hAnsi="Arial" w:cs="Arial"/>
        </w:rPr>
        <w:t xml:space="preserve"> or victims </w:t>
      </w:r>
      <w:r w:rsidR="00713719" w:rsidRPr="65D5D47B">
        <w:rPr>
          <w:rFonts w:ascii="Arial" w:hAnsi="Arial" w:cs="Arial"/>
        </w:rPr>
        <w:t>may</w:t>
      </w:r>
      <w:r w:rsidR="009F5C02" w:rsidRPr="65D5D47B">
        <w:rPr>
          <w:rFonts w:ascii="Arial" w:hAnsi="Arial" w:cs="Arial"/>
        </w:rPr>
        <w:t xml:space="preserve"> go from one abusive relationship to another. </w:t>
      </w:r>
      <w:r w:rsidR="00713719" w:rsidRPr="65D5D47B">
        <w:rPr>
          <w:rFonts w:ascii="Arial" w:hAnsi="Arial" w:cs="Arial"/>
        </w:rPr>
        <w:t>Also,</w:t>
      </w:r>
      <w:r w:rsidR="009F5C02" w:rsidRPr="65D5D47B">
        <w:rPr>
          <w:rFonts w:ascii="Arial" w:hAnsi="Arial" w:cs="Arial"/>
        </w:rPr>
        <w:t xml:space="preserve"> </w:t>
      </w:r>
      <w:r w:rsidR="00713719" w:rsidRPr="65D5D47B">
        <w:rPr>
          <w:rFonts w:ascii="Arial" w:hAnsi="Arial" w:cs="Arial"/>
        </w:rPr>
        <w:t>information</w:t>
      </w:r>
      <w:r w:rsidR="009F5C02" w:rsidRPr="65D5D47B">
        <w:rPr>
          <w:rFonts w:ascii="Arial" w:hAnsi="Arial" w:cs="Arial"/>
        </w:rPr>
        <w:t xml:space="preserve"> may need to be redacted temporarily or permanently because of direct harm it may cause to the patient or because it reveals confidential information relating to a third-party.  </w:t>
      </w:r>
    </w:p>
    <w:p w14:paraId="743E906E" w14:textId="7135ED84" w:rsidR="4673BEA3" w:rsidRDefault="00AA5672" w:rsidP="00AA5672">
      <w:pPr>
        <w:spacing w:before="120" w:after="0" w:line="288" w:lineRule="auto"/>
        <w:rPr>
          <w:rFonts w:ascii="Arial" w:hAnsi="Arial" w:cs="Arial"/>
          <w:color w:val="00B050"/>
        </w:rPr>
      </w:pPr>
      <w:r w:rsidRPr="65D5D47B">
        <w:rPr>
          <w:rFonts w:ascii="Arial" w:hAnsi="Arial" w:cs="Arial"/>
          <w:color w:val="00B050"/>
        </w:rPr>
        <w:t xml:space="preserve">Ref: </w:t>
      </w:r>
      <w:r w:rsidR="4673BEA3" w:rsidRPr="65D5D47B">
        <w:rPr>
          <w:rFonts w:ascii="Arial" w:hAnsi="Arial" w:cs="Arial"/>
          <w:color w:val="00B050"/>
        </w:rPr>
        <w:t xml:space="preserve">For further information on safeguarding vulnerable groups see the “Safeguarding and Vulnerable Groups” </w:t>
      </w:r>
      <w:r w:rsidRPr="65D5D47B">
        <w:rPr>
          <w:rFonts w:ascii="Arial" w:hAnsi="Arial" w:cs="Arial"/>
          <w:color w:val="00B050"/>
        </w:rPr>
        <w:t>Guidance in the Toolkit.</w:t>
      </w:r>
    </w:p>
    <w:p w14:paraId="6F5C755D" w14:textId="101294B8" w:rsidR="00AA538C" w:rsidRDefault="00AA5672" w:rsidP="00AA5672">
      <w:pPr>
        <w:spacing w:before="120" w:after="0" w:line="288" w:lineRule="auto"/>
        <w:rPr>
          <w:rFonts w:ascii="Arial" w:hAnsi="Arial" w:cs="Arial"/>
          <w:color w:val="00B050"/>
        </w:rPr>
      </w:pPr>
      <w:r w:rsidRPr="0D40289F">
        <w:rPr>
          <w:rFonts w:ascii="Arial" w:hAnsi="Arial" w:cs="Arial"/>
          <w:color w:val="00B050"/>
        </w:rPr>
        <w:t xml:space="preserve">Ref: For more information on when and how to document domestic abuse see the RCGP </w:t>
      </w:r>
      <w:r w:rsidR="00AA538C" w:rsidRPr="0D40289F">
        <w:rPr>
          <w:rFonts w:ascii="Arial" w:hAnsi="Arial" w:cs="Arial"/>
          <w:color w:val="00B050"/>
        </w:rPr>
        <w:t xml:space="preserve">Adult </w:t>
      </w:r>
      <w:r w:rsidRPr="0D40289F">
        <w:rPr>
          <w:rFonts w:ascii="Arial" w:hAnsi="Arial" w:cs="Arial"/>
          <w:color w:val="00B050"/>
        </w:rPr>
        <w:t>Safeguarding Toolkit</w:t>
      </w:r>
      <w:r w:rsidR="00AA538C" w:rsidRPr="0D40289F">
        <w:rPr>
          <w:rFonts w:ascii="Arial" w:hAnsi="Arial" w:cs="Arial"/>
          <w:color w:val="00B050"/>
        </w:rPr>
        <w:t xml:space="preserve"> https://elearning.rcgp.org.uk/mod/book/view.php?id=12530 </w:t>
      </w:r>
      <w:r w:rsidRPr="0D40289F">
        <w:rPr>
          <w:rFonts w:ascii="Arial" w:hAnsi="Arial" w:cs="Arial"/>
          <w:color w:val="00B050"/>
        </w:rPr>
        <w:t>(accessed 23 August 2022)</w:t>
      </w:r>
    </w:p>
    <w:p w14:paraId="73AC8019" w14:textId="04CDCCF6" w:rsidR="00823FBD" w:rsidRPr="00AA5672" w:rsidRDefault="00AA538C" w:rsidP="00AA5672">
      <w:pPr>
        <w:spacing w:before="120" w:after="0" w:line="288" w:lineRule="auto"/>
        <w:rPr>
          <w:rFonts w:ascii="Arial" w:hAnsi="Arial" w:cs="Arial"/>
          <w:color w:val="00B050"/>
        </w:rPr>
      </w:pPr>
      <w:r w:rsidRPr="0D40289F">
        <w:rPr>
          <w:rFonts w:ascii="Arial" w:hAnsi="Arial" w:cs="Arial"/>
          <w:color w:val="00B050"/>
        </w:rPr>
        <w:t>Ref: There is also an RCGP Child Safeguarding Toolkit</w:t>
      </w:r>
      <w:r w:rsidR="00AA5672" w:rsidRPr="0D40289F">
        <w:rPr>
          <w:rFonts w:ascii="Arial" w:hAnsi="Arial" w:cs="Arial"/>
          <w:color w:val="00B050"/>
        </w:rPr>
        <w:t xml:space="preserve"> </w:t>
      </w:r>
      <w:r w:rsidRPr="0D40289F">
        <w:rPr>
          <w:rFonts w:ascii="Arial" w:hAnsi="Arial" w:cs="Arial"/>
          <w:color w:val="00B050"/>
        </w:rPr>
        <w:t>https://elearning.rcgp.org.uk/mod/book/view.php?id=12531 (both accessed on 23 August 2022)</w:t>
      </w:r>
    </w:p>
    <w:p w14:paraId="3D213DC5" w14:textId="5D198B19" w:rsidR="00763CD9" w:rsidRPr="00AA5672" w:rsidRDefault="00823FBD" w:rsidP="00AA5672">
      <w:pPr>
        <w:spacing w:before="120" w:after="0" w:line="288" w:lineRule="auto"/>
        <w:rPr>
          <w:rFonts w:ascii="Arial" w:hAnsi="Arial" w:cs="Arial"/>
        </w:rPr>
      </w:pPr>
      <w:r w:rsidRPr="00AA5672">
        <w:rPr>
          <w:rFonts w:ascii="Arial" w:hAnsi="Arial" w:cs="Arial"/>
          <w:b/>
          <w:bCs/>
        </w:rPr>
        <w:t>Conversations with patients</w:t>
      </w:r>
      <w:r w:rsidR="00E02428" w:rsidRPr="00AA5672">
        <w:rPr>
          <w:rFonts w:ascii="Arial" w:hAnsi="Arial" w:cs="Arial"/>
        </w:rPr>
        <w:t xml:space="preserve"> – </w:t>
      </w:r>
      <w:r w:rsidR="00AA5672">
        <w:rPr>
          <w:rFonts w:ascii="Arial" w:hAnsi="Arial" w:cs="Arial"/>
        </w:rPr>
        <w:t>It is helpful</w:t>
      </w:r>
      <w:r w:rsidR="003740EB" w:rsidRPr="00AA5672">
        <w:rPr>
          <w:rFonts w:ascii="Arial" w:hAnsi="Arial" w:cs="Arial"/>
        </w:rPr>
        <w:t xml:space="preserve"> to have ongoing conversations with patients about online record access</w:t>
      </w:r>
      <w:r w:rsidR="002F26FE" w:rsidRPr="00AA5672">
        <w:rPr>
          <w:rFonts w:ascii="Arial" w:hAnsi="Arial" w:cs="Arial"/>
        </w:rPr>
        <w:t>, the choices patients have</w:t>
      </w:r>
      <w:r w:rsidR="003740EB" w:rsidRPr="00AA5672">
        <w:rPr>
          <w:rFonts w:ascii="Arial" w:hAnsi="Arial" w:cs="Arial"/>
        </w:rPr>
        <w:t xml:space="preserve"> and how t</w:t>
      </w:r>
      <w:r w:rsidR="002F26FE" w:rsidRPr="00AA5672">
        <w:rPr>
          <w:rFonts w:ascii="Arial" w:hAnsi="Arial" w:cs="Arial"/>
        </w:rPr>
        <w:t>hey and the practice can</w:t>
      </w:r>
      <w:r w:rsidR="003740EB" w:rsidRPr="00AA5672">
        <w:rPr>
          <w:rFonts w:ascii="Arial" w:hAnsi="Arial" w:cs="Arial"/>
        </w:rPr>
        <w:t xml:space="preserve"> safely manage this.</w:t>
      </w:r>
      <w:r w:rsidR="002F26FE" w:rsidRPr="00AA5672">
        <w:rPr>
          <w:rFonts w:ascii="Arial" w:hAnsi="Arial" w:cs="Arial"/>
        </w:rPr>
        <w:t xml:space="preserve"> </w:t>
      </w:r>
    </w:p>
    <w:p w14:paraId="2AFF9B3F" w14:textId="6A21558A" w:rsidR="00763CD9" w:rsidRDefault="00AA5672" w:rsidP="00AA5672">
      <w:pPr>
        <w:spacing w:before="120" w:after="0" w:line="288" w:lineRule="auto"/>
        <w:rPr>
          <w:rFonts w:ascii="Arial" w:hAnsi="Arial" w:cs="Arial"/>
        </w:rPr>
      </w:pPr>
      <w:r w:rsidRPr="0D40289F">
        <w:rPr>
          <w:rFonts w:ascii="Arial" w:hAnsi="Arial" w:cs="Arial"/>
          <w:b/>
          <w:bCs/>
        </w:rPr>
        <w:t>Information for patients about record access</w:t>
      </w:r>
      <w:r w:rsidRPr="0D40289F">
        <w:rPr>
          <w:rFonts w:ascii="Arial" w:hAnsi="Arial" w:cs="Arial"/>
        </w:rPr>
        <w:t xml:space="preserve"> – It is important to provide accessible information </w:t>
      </w:r>
      <w:r w:rsidR="00713719" w:rsidRPr="0D40289F">
        <w:rPr>
          <w:rFonts w:ascii="Arial" w:hAnsi="Arial" w:cs="Arial"/>
        </w:rPr>
        <w:t>to</w:t>
      </w:r>
      <w:r w:rsidRPr="0D40289F">
        <w:rPr>
          <w:rFonts w:ascii="Arial" w:hAnsi="Arial" w:cs="Arial"/>
        </w:rPr>
        <w:t xml:space="preserve"> patients </w:t>
      </w:r>
      <w:r w:rsidR="00713719" w:rsidRPr="0D40289F">
        <w:rPr>
          <w:rFonts w:ascii="Arial" w:hAnsi="Arial" w:cs="Arial"/>
        </w:rPr>
        <w:t>to</w:t>
      </w:r>
      <w:r w:rsidRPr="0D40289F">
        <w:rPr>
          <w:rFonts w:ascii="Arial" w:hAnsi="Arial" w:cs="Arial"/>
        </w:rPr>
        <w:t xml:space="preserve"> explain how the practice provides online record access, how the practice manages safeguarding risks, and</w:t>
      </w:r>
      <w:r w:rsidR="00763CD9" w:rsidRPr="0D40289F">
        <w:rPr>
          <w:rFonts w:ascii="Arial" w:hAnsi="Arial" w:cs="Arial"/>
        </w:rPr>
        <w:t xml:space="preserve"> </w:t>
      </w:r>
      <w:r w:rsidR="00713719" w:rsidRPr="0D40289F">
        <w:rPr>
          <w:rFonts w:ascii="Arial" w:hAnsi="Arial" w:cs="Arial"/>
        </w:rPr>
        <w:t>when</w:t>
      </w:r>
      <w:r w:rsidR="00763CD9" w:rsidRPr="0D40289F">
        <w:rPr>
          <w:rFonts w:ascii="Arial" w:hAnsi="Arial" w:cs="Arial"/>
        </w:rPr>
        <w:t xml:space="preserve"> patients </w:t>
      </w:r>
      <w:r w:rsidR="00713719" w:rsidRPr="0D40289F">
        <w:rPr>
          <w:rFonts w:ascii="Arial" w:hAnsi="Arial" w:cs="Arial"/>
        </w:rPr>
        <w:t>should</w:t>
      </w:r>
      <w:r w:rsidR="00763CD9" w:rsidRPr="0D40289F">
        <w:rPr>
          <w:rFonts w:ascii="Arial" w:hAnsi="Arial" w:cs="Arial"/>
        </w:rPr>
        <w:t xml:space="preserve"> contact the practice if they have any concerns someone else is accessing their records. </w:t>
      </w:r>
      <w:r w:rsidRPr="0D40289F">
        <w:rPr>
          <w:rFonts w:ascii="Arial" w:hAnsi="Arial" w:cs="Arial"/>
        </w:rPr>
        <w:t xml:space="preserve"> </w:t>
      </w:r>
      <w:r w:rsidR="003740EB" w:rsidRPr="0D40289F">
        <w:rPr>
          <w:rFonts w:ascii="Arial" w:hAnsi="Arial" w:cs="Arial"/>
        </w:rPr>
        <w:t xml:space="preserve">This could be linked to information on the practice website about where </w:t>
      </w:r>
      <w:r w:rsidR="00713719" w:rsidRPr="0D40289F">
        <w:rPr>
          <w:rFonts w:ascii="Arial" w:hAnsi="Arial" w:cs="Arial"/>
        </w:rPr>
        <w:t xml:space="preserve">else </w:t>
      </w:r>
      <w:r w:rsidR="003740EB" w:rsidRPr="0D40289F">
        <w:rPr>
          <w:rFonts w:ascii="Arial" w:hAnsi="Arial" w:cs="Arial"/>
        </w:rPr>
        <w:t xml:space="preserve">victims of abuse can get support </w:t>
      </w:r>
      <w:proofErr w:type="gramStart"/>
      <w:r w:rsidR="009C3138" w:rsidRPr="0D40289F">
        <w:rPr>
          <w:rFonts w:ascii="Arial" w:hAnsi="Arial" w:cs="Arial"/>
        </w:rPr>
        <w:t>e.g.</w:t>
      </w:r>
      <w:proofErr w:type="gramEnd"/>
      <w:r w:rsidR="003740EB" w:rsidRPr="0D40289F">
        <w:rPr>
          <w:rFonts w:ascii="Arial" w:hAnsi="Arial" w:cs="Arial"/>
        </w:rPr>
        <w:t xml:space="preserve"> domestic abuse agencies</w:t>
      </w:r>
      <w:r w:rsidRPr="0D40289F">
        <w:rPr>
          <w:rFonts w:ascii="Arial" w:hAnsi="Arial" w:cs="Arial"/>
        </w:rPr>
        <w:t>.</w:t>
      </w:r>
    </w:p>
    <w:p w14:paraId="552A0CC4" w14:textId="729AB095" w:rsidR="00AA5672" w:rsidRPr="00AA5672" w:rsidRDefault="00AA5672" w:rsidP="00AA5672">
      <w:pPr>
        <w:spacing w:before="120" w:after="0" w:line="288" w:lineRule="auto"/>
        <w:rPr>
          <w:rFonts w:ascii="Arial" w:hAnsi="Arial" w:cs="Arial"/>
        </w:rPr>
      </w:pPr>
      <w:r w:rsidRPr="65D5D47B">
        <w:rPr>
          <w:rFonts w:ascii="Arial" w:hAnsi="Arial" w:cs="Arial"/>
          <w:color w:val="00B050"/>
        </w:rPr>
        <w:t xml:space="preserve">Ref: There is a list of information that can be helpful to patients about GP </w:t>
      </w:r>
      <w:r w:rsidR="00AA538C" w:rsidRPr="65D5D47B">
        <w:rPr>
          <w:rFonts w:ascii="Arial" w:hAnsi="Arial" w:cs="Arial"/>
          <w:color w:val="00B050"/>
        </w:rPr>
        <w:t>o</w:t>
      </w:r>
      <w:r w:rsidRPr="65D5D47B">
        <w:rPr>
          <w:rFonts w:ascii="Arial" w:hAnsi="Arial" w:cs="Arial"/>
          <w:color w:val="00B050"/>
        </w:rPr>
        <w:t xml:space="preserve">nline </w:t>
      </w:r>
      <w:r w:rsidR="00AA538C" w:rsidRPr="65D5D47B">
        <w:rPr>
          <w:rFonts w:ascii="Arial" w:hAnsi="Arial" w:cs="Arial"/>
          <w:color w:val="00B050"/>
        </w:rPr>
        <w:t>s</w:t>
      </w:r>
      <w:r w:rsidRPr="65D5D47B">
        <w:rPr>
          <w:rFonts w:ascii="Arial" w:hAnsi="Arial" w:cs="Arial"/>
          <w:color w:val="00B050"/>
        </w:rPr>
        <w:t xml:space="preserve">ervices in the “Patient Information Themes </w:t>
      </w:r>
      <w:r w:rsidR="00AA538C" w:rsidRPr="65D5D47B">
        <w:rPr>
          <w:rFonts w:ascii="Arial" w:hAnsi="Arial" w:cs="Arial"/>
          <w:color w:val="00B050"/>
        </w:rPr>
        <w:t>for</w:t>
      </w:r>
      <w:r w:rsidRPr="65D5D47B">
        <w:rPr>
          <w:rFonts w:ascii="Arial" w:hAnsi="Arial" w:cs="Arial"/>
          <w:color w:val="00B050"/>
        </w:rPr>
        <w:t xml:space="preserve"> GP Online Services” </w:t>
      </w:r>
      <w:r w:rsidR="00AA538C" w:rsidRPr="65D5D47B">
        <w:rPr>
          <w:rFonts w:ascii="Arial" w:hAnsi="Arial" w:cs="Arial"/>
          <w:color w:val="00B050"/>
        </w:rPr>
        <w:t>g</w:t>
      </w:r>
      <w:r w:rsidRPr="65D5D47B">
        <w:rPr>
          <w:rFonts w:ascii="Arial" w:hAnsi="Arial" w:cs="Arial"/>
          <w:color w:val="00B050"/>
        </w:rPr>
        <w:t>uidance in the Toolkit.</w:t>
      </w:r>
    </w:p>
    <w:p w14:paraId="483EC45A" w14:textId="4E78F65B" w:rsidR="00763CD9" w:rsidRDefault="00AA5672" w:rsidP="00AA5672">
      <w:pPr>
        <w:spacing w:before="120" w:after="0" w:line="288" w:lineRule="auto"/>
        <w:rPr>
          <w:rFonts w:ascii="Arial" w:hAnsi="Arial" w:cs="Arial"/>
        </w:rPr>
      </w:pPr>
      <w:r w:rsidRPr="0D940277">
        <w:rPr>
          <w:rFonts w:ascii="Arial" w:hAnsi="Arial" w:cs="Arial"/>
          <w:b/>
          <w:bCs/>
        </w:rPr>
        <w:t>Practice leadership</w:t>
      </w:r>
      <w:r w:rsidRPr="0D940277">
        <w:rPr>
          <w:rFonts w:ascii="Arial" w:hAnsi="Arial" w:cs="Arial"/>
        </w:rPr>
        <w:t xml:space="preserve"> - </w:t>
      </w:r>
      <w:r w:rsidR="00763CD9" w:rsidRPr="0D940277">
        <w:rPr>
          <w:rFonts w:ascii="Arial" w:hAnsi="Arial" w:cs="Arial"/>
        </w:rPr>
        <w:t xml:space="preserve">Safeguarding Leads, the Caldicott </w:t>
      </w:r>
      <w:proofErr w:type="gramStart"/>
      <w:r w:rsidR="00763CD9" w:rsidRPr="0D940277">
        <w:rPr>
          <w:rFonts w:ascii="Arial" w:hAnsi="Arial" w:cs="Arial"/>
        </w:rPr>
        <w:t>Guardian</w:t>
      </w:r>
      <w:r w:rsidR="009C3138">
        <w:rPr>
          <w:rFonts w:ascii="Arial" w:hAnsi="Arial" w:cs="Arial"/>
        </w:rPr>
        <w:t>s</w:t>
      </w:r>
      <w:proofErr w:type="gramEnd"/>
      <w:r w:rsidR="00763CD9" w:rsidRPr="0D940277">
        <w:rPr>
          <w:rFonts w:ascii="Arial" w:hAnsi="Arial" w:cs="Arial"/>
        </w:rPr>
        <w:t xml:space="preserve"> and Information Governance Leads, should start having discussions with all practice teams about the safeguarding risks </w:t>
      </w:r>
      <w:r w:rsidRPr="0D940277">
        <w:rPr>
          <w:rFonts w:ascii="Arial" w:hAnsi="Arial" w:cs="Arial"/>
        </w:rPr>
        <w:t>of record access</w:t>
      </w:r>
      <w:r w:rsidR="003740EB" w:rsidRPr="0D940277">
        <w:rPr>
          <w:rFonts w:ascii="Arial" w:hAnsi="Arial" w:cs="Arial"/>
        </w:rPr>
        <w:t xml:space="preserve"> and how to mitigate them</w:t>
      </w:r>
      <w:r w:rsidRPr="0D940277">
        <w:rPr>
          <w:rFonts w:ascii="Arial" w:hAnsi="Arial" w:cs="Arial"/>
        </w:rPr>
        <w:t>, particularly the new hazards presented by automatic record access</w:t>
      </w:r>
      <w:r w:rsidR="003740EB" w:rsidRPr="0D940277">
        <w:rPr>
          <w:rFonts w:ascii="Arial" w:hAnsi="Arial" w:cs="Arial"/>
        </w:rPr>
        <w:t xml:space="preserve">. </w:t>
      </w:r>
      <w:r w:rsidRPr="0D940277">
        <w:rPr>
          <w:rFonts w:ascii="Arial" w:hAnsi="Arial" w:cs="Arial"/>
        </w:rPr>
        <w:t xml:space="preserve"> </w:t>
      </w:r>
      <w:proofErr w:type="gramStart"/>
      <w:r w:rsidR="003740EB" w:rsidRPr="0D940277">
        <w:rPr>
          <w:rFonts w:ascii="Arial" w:hAnsi="Arial" w:cs="Arial"/>
        </w:rPr>
        <w:t>In particular, discussions</w:t>
      </w:r>
      <w:proofErr w:type="gramEnd"/>
      <w:r w:rsidR="003740EB" w:rsidRPr="0D940277">
        <w:rPr>
          <w:rFonts w:ascii="Arial" w:hAnsi="Arial" w:cs="Arial"/>
        </w:rPr>
        <w:t xml:space="preserve"> about what 'coercion' is and what that might look like to different staff members (clinical and non-clinical). </w:t>
      </w:r>
    </w:p>
    <w:p w14:paraId="5A1FADB8" w14:textId="5ECD47D0" w:rsidR="00AA5672" w:rsidRDefault="00AA5672" w:rsidP="00AA5672">
      <w:pPr>
        <w:spacing w:before="120" w:after="0" w:line="288" w:lineRule="auto"/>
        <w:rPr>
          <w:rFonts w:ascii="Arial" w:hAnsi="Arial" w:cs="Arial"/>
          <w:color w:val="00B050"/>
        </w:rPr>
      </w:pPr>
      <w:r w:rsidRPr="65D5D47B">
        <w:rPr>
          <w:rFonts w:ascii="Arial" w:hAnsi="Arial" w:cs="Arial"/>
          <w:color w:val="00B050"/>
        </w:rPr>
        <w:lastRenderedPageBreak/>
        <w:t>Ref: There is further information on coercion and how to identify it in the “Coercion” document in the Toolkit</w:t>
      </w:r>
    </w:p>
    <w:p w14:paraId="68CE2A12" w14:textId="0228D49F" w:rsidR="009C3138" w:rsidRPr="00A53C70" w:rsidRDefault="009C3138" w:rsidP="00582831">
      <w:pPr>
        <w:spacing w:before="120" w:after="0" w:line="288" w:lineRule="auto"/>
        <w:rPr>
          <w:rFonts w:ascii="Arial" w:hAnsi="Arial" w:cs="Arial"/>
          <w:b/>
          <w:bCs/>
          <w:color w:val="000000" w:themeColor="text1"/>
        </w:rPr>
      </w:pPr>
    </w:p>
    <w:p w14:paraId="2FEDCCCC" w14:textId="1C60D163" w:rsidR="003C6277" w:rsidRPr="00A53C70" w:rsidRDefault="003C6277" w:rsidP="00582831">
      <w:pPr>
        <w:spacing w:before="120" w:after="0" w:line="288" w:lineRule="auto"/>
        <w:rPr>
          <w:rFonts w:ascii="Arial" w:eastAsia="Arial Unicode MS" w:hAnsi="Arial" w:cs="Arial"/>
          <w:color w:val="000000"/>
          <w:u w:color="000000"/>
          <w:bdr w:val="nil"/>
          <w:lang w:val="en-US" w:eastAsia="en-GB"/>
          <w14:textOutline w14:w="0" w14:cap="flat" w14:cmpd="sng" w14:algn="ctr">
            <w14:noFill/>
            <w14:prstDash w14:val="solid"/>
            <w14:bevel/>
          </w14:textOutline>
        </w:rPr>
      </w:pPr>
      <w:r w:rsidRPr="00A53C70">
        <w:rPr>
          <w:rFonts w:ascii="Lato" w:hAnsi="Lato" w:cs="Arial"/>
          <w:color w:val="000000" w:themeColor="text1"/>
          <w:sz w:val="32"/>
          <w:szCs w:val="32"/>
        </w:rPr>
        <w:t>Appendices</w:t>
      </w:r>
    </w:p>
    <w:p w14:paraId="0967B038" w14:textId="607FCC66" w:rsidR="005560DF" w:rsidRPr="00A53C70" w:rsidRDefault="003C6277" w:rsidP="00A53C70">
      <w:pPr>
        <w:pStyle w:val="Body"/>
        <w:numPr>
          <w:ilvl w:val="0"/>
          <w:numId w:val="24"/>
        </w:numPr>
        <w:spacing w:before="240" w:line="288" w:lineRule="auto"/>
        <w:ind w:left="426" w:hanging="357"/>
        <w:rPr>
          <w:rFonts w:ascii="Lato" w:hAnsi="Lato" w:cs="Arial"/>
          <w:color w:val="000000" w:themeColor="text1"/>
          <w:sz w:val="28"/>
          <w:szCs w:val="28"/>
        </w:rPr>
      </w:pPr>
      <w:r w:rsidRPr="00A53C70">
        <w:rPr>
          <w:rFonts w:ascii="Lato" w:hAnsi="Lato" w:cs="Arial"/>
          <w:color w:val="000000" w:themeColor="text1"/>
          <w:sz w:val="28"/>
          <w:szCs w:val="28"/>
        </w:rPr>
        <w:t>A</w:t>
      </w:r>
      <w:r w:rsidR="00382049" w:rsidRPr="00A53C70">
        <w:rPr>
          <w:rFonts w:ascii="Lato" w:hAnsi="Lato" w:cs="Arial"/>
          <w:color w:val="000000" w:themeColor="text1"/>
          <w:sz w:val="28"/>
          <w:szCs w:val="28"/>
        </w:rPr>
        <w:t>ctions for those with strategic primary care safeguarding roles</w:t>
      </w:r>
    </w:p>
    <w:p w14:paraId="67C9599F" w14:textId="1B9473F1" w:rsidR="00382049" w:rsidRPr="008D3D44" w:rsidRDefault="00382049" w:rsidP="00AC48E2">
      <w:pPr>
        <w:pStyle w:val="Body"/>
        <w:spacing w:before="120" w:line="288" w:lineRule="auto"/>
        <w:rPr>
          <w:rFonts w:ascii="Arial" w:hAnsi="Arial" w:cs="Arial"/>
        </w:rPr>
      </w:pPr>
      <w:r w:rsidRPr="73391C0D">
        <w:rPr>
          <w:rFonts w:ascii="Arial" w:hAnsi="Arial" w:cs="Arial"/>
        </w:rPr>
        <w:t>Named GPs</w:t>
      </w:r>
      <w:r w:rsidR="00AA5672" w:rsidRPr="73391C0D">
        <w:rPr>
          <w:rFonts w:ascii="Arial" w:hAnsi="Arial" w:cs="Arial"/>
        </w:rPr>
        <w:t xml:space="preserve"> and </w:t>
      </w:r>
      <w:r w:rsidRPr="73391C0D">
        <w:rPr>
          <w:rFonts w:ascii="Arial" w:hAnsi="Arial" w:cs="Arial"/>
        </w:rPr>
        <w:t>Nurses for safeguarding</w:t>
      </w:r>
      <w:r w:rsidR="00C82553" w:rsidRPr="73391C0D">
        <w:rPr>
          <w:rFonts w:ascii="Arial" w:hAnsi="Arial" w:cs="Arial"/>
        </w:rPr>
        <w:t xml:space="preserve"> and </w:t>
      </w:r>
      <w:r w:rsidRPr="73391C0D">
        <w:rPr>
          <w:rFonts w:ascii="Arial" w:hAnsi="Arial" w:cs="Arial"/>
        </w:rPr>
        <w:t>Designated Doctors</w:t>
      </w:r>
      <w:r w:rsidR="00AA5672" w:rsidRPr="73391C0D">
        <w:rPr>
          <w:rFonts w:ascii="Arial" w:hAnsi="Arial" w:cs="Arial"/>
        </w:rPr>
        <w:t xml:space="preserve"> and </w:t>
      </w:r>
      <w:r w:rsidRPr="73391C0D">
        <w:rPr>
          <w:rFonts w:ascii="Arial" w:hAnsi="Arial" w:cs="Arial"/>
        </w:rPr>
        <w:t>Professionals for safeguarding</w:t>
      </w:r>
      <w:r w:rsidR="003B2863" w:rsidRPr="73391C0D">
        <w:rPr>
          <w:rFonts w:ascii="Arial" w:hAnsi="Arial" w:cs="Arial"/>
        </w:rPr>
        <w:t xml:space="preserve"> within </w:t>
      </w:r>
      <w:r w:rsidR="00A53C70">
        <w:rPr>
          <w:rFonts w:ascii="Arial" w:hAnsi="Arial" w:cs="Arial"/>
        </w:rPr>
        <w:t xml:space="preserve">local Primary Care areas should </w:t>
      </w:r>
      <w:r w:rsidR="00AA5672" w:rsidRPr="73391C0D">
        <w:rPr>
          <w:rFonts w:ascii="Arial" w:hAnsi="Arial" w:cs="Arial"/>
        </w:rPr>
        <w:t>consider:</w:t>
      </w:r>
    </w:p>
    <w:p w14:paraId="35C8556D" w14:textId="36DF4ED5" w:rsidR="00656F7F" w:rsidRPr="008D3D44" w:rsidRDefault="00AA5672" w:rsidP="00A53C70">
      <w:pPr>
        <w:pStyle w:val="Body"/>
        <w:numPr>
          <w:ilvl w:val="0"/>
          <w:numId w:val="26"/>
        </w:numPr>
        <w:spacing w:before="60" w:line="288" w:lineRule="auto"/>
        <w:ind w:left="426" w:hanging="284"/>
        <w:rPr>
          <w:rFonts w:ascii="Arial" w:hAnsi="Arial" w:cs="Arial"/>
        </w:rPr>
      </w:pPr>
      <w:r w:rsidRPr="65D5D47B">
        <w:rPr>
          <w:rFonts w:ascii="Arial" w:hAnsi="Arial" w:cs="Arial"/>
        </w:rPr>
        <w:t>Informing</w:t>
      </w:r>
      <w:r w:rsidR="003B2863" w:rsidRPr="65D5D47B">
        <w:rPr>
          <w:rFonts w:ascii="Arial" w:hAnsi="Arial" w:cs="Arial"/>
        </w:rPr>
        <w:t xml:space="preserve"> their multi-agency safeguarding partnerships about </w:t>
      </w:r>
      <w:r w:rsidRPr="65D5D47B">
        <w:rPr>
          <w:rFonts w:ascii="Arial" w:hAnsi="Arial" w:cs="Arial"/>
        </w:rPr>
        <w:t>automatic</w:t>
      </w:r>
      <w:r w:rsidR="003B2863" w:rsidRPr="65D5D47B">
        <w:rPr>
          <w:rFonts w:ascii="Arial" w:hAnsi="Arial" w:cs="Arial"/>
        </w:rPr>
        <w:t xml:space="preserve"> records access and the risks it presents to victims and survivors of abuse. This is particularly relevant for agencies who share information with primary care</w:t>
      </w:r>
      <w:r w:rsidR="00656F7F" w:rsidRPr="65D5D47B">
        <w:rPr>
          <w:rFonts w:ascii="Arial" w:hAnsi="Arial" w:cs="Arial"/>
        </w:rPr>
        <w:t xml:space="preserve">. </w:t>
      </w:r>
      <w:r w:rsidRPr="65D5D47B">
        <w:rPr>
          <w:rFonts w:ascii="Arial" w:hAnsi="Arial" w:cs="Arial"/>
        </w:rPr>
        <w:t>They</w:t>
      </w:r>
      <w:r w:rsidR="00656F7F" w:rsidRPr="65D5D47B">
        <w:rPr>
          <w:rFonts w:ascii="Arial" w:hAnsi="Arial" w:cs="Arial"/>
        </w:rPr>
        <w:t xml:space="preserve"> may wish to review and strengthen their information sharing procedures. For example:</w:t>
      </w:r>
      <w:r w:rsidRPr="65D5D47B">
        <w:rPr>
          <w:rFonts w:ascii="Arial" w:hAnsi="Arial" w:cs="Arial"/>
        </w:rPr>
        <w:t xml:space="preserve"> i</w:t>
      </w:r>
      <w:r w:rsidR="00656F7F" w:rsidRPr="65D5D47B">
        <w:rPr>
          <w:rFonts w:ascii="Arial" w:hAnsi="Arial" w:cs="Arial"/>
        </w:rPr>
        <w:t xml:space="preserve">f an external agency is sharing a document with primary care that contains third-party information or information that may cause significant harm to the patient or others, they could ensure there is a clear written message on the front of the document that </w:t>
      </w:r>
      <w:r w:rsidR="00C82553" w:rsidRPr="65D5D47B">
        <w:rPr>
          <w:rFonts w:ascii="Arial" w:hAnsi="Arial" w:cs="Arial"/>
        </w:rPr>
        <w:t xml:space="preserve">it should be hidden from online access. </w:t>
      </w:r>
    </w:p>
    <w:p w14:paraId="6DAD3274" w14:textId="1E4878CB" w:rsidR="00431860" w:rsidRDefault="00E02428" w:rsidP="00A53C70">
      <w:pPr>
        <w:pStyle w:val="Body"/>
        <w:numPr>
          <w:ilvl w:val="0"/>
          <w:numId w:val="26"/>
        </w:numPr>
        <w:spacing w:before="60" w:line="288" w:lineRule="auto"/>
        <w:ind w:left="426" w:hanging="284"/>
        <w:rPr>
          <w:rFonts w:ascii="Arial" w:hAnsi="Arial" w:cs="Arial"/>
          <w:color w:val="auto"/>
        </w:rPr>
      </w:pPr>
      <w:r w:rsidRPr="65D5D47B">
        <w:rPr>
          <w:rFonts w:ascii="Arial" w:hAnsi="Arial" w:cs="Arial"/>
          <w:color w:val="auto"/>
        </w:rPr>
        <w:t xml:space="preserve">Including </w:t>
      </w:r>
      <w:r w:rsidR="002F70E6" w:rsidRPr="65D5D47B">
        <w:rPr>
          <w:rFonts w:ascii="Arial" w:hAnsi="Arial" w:cs="Arial"/>
          <w:color w:val="auto"/>
        </w:rPr>
        <w:t>information about</w:t>
      </w:r>
      <w:r w:rsidR="00201C3C" w:rsidRPr="65D5D47B">
        <w:rPr>
          <w:rFonts w:ascii="Arial" w:hAnsi="Arial" w:cs="Arial"/>
          <w:color w:val="auto"/>
        </w:rPr>
        <w:t xml:space="preserve"> </w:t>
      </w:r>
      <w:r w:rsidRPr="65D5D47B">
        <w:rPr>
          <w:rFonts w:ascii="Arial" w:hAnsi="Arial" w:cs="Arial"/>
          <w:color w:val="auto"/>
        </w:rPr>
        <w:t>automatic</w:t>
      </w:r>
      <w:r w:rsidR="002F70E6" w:rsidRPr="65D5D47B">
        <w:rPr>
          <w:rFonts w:ascii="Arial" w:hAnsi="Arial" w:cs="Arial"/>
          <w:color w:val="auto"/>
        </w:rPr>
        <w:t xml:space="preserve"> record access, the risks and the mitigations in any safeguarding training given to </w:t>
      </w:r>
      <w:r w:rsidR="003974F6" w:rsidRPr="65D5D47B">
        <w:rPr>
          <w:rFonts w:ascii="Arial" w:hAnsi="Arial" w:cs="Arial"/>
          <w:color w:val="auto"/>
        </w:rPr>
        <w:t>P</w:t>
      </w:r>
      <w:r w:rsidR="002F70E6" w:rsidRPr="65D5D47B">
        <w:rPr>
          <w:rFonts w:ascii="Arial" w:hAnsi="Arial" w:cs="Arial"/>
          <w:color w:val="auto"/>
        </w:rPr>
        <w:t xml:space="preserve">rimary </w:t>
      </w:r>
      <w:r w:rsidR="003974F6" w:rsidRPr="65D5D47B">
        <w:rPr>
          <w:rFonts w:ascii="Arial" w:hAnsi="Arial" w:cs="Arial"/>
          <w:color w:val="auto"/>
        </w:rPr>
        <w:t>C</w:t>
      </w:r>
      <w:r w:rsidR="002F70E6" w:rsidRPr="65D5D47B">
        <w:rPr>
          <w:rFonts w:ascii="Arial" w:hAnsi="Arial" w:cs="Arial"/>
          <w:color w:val="auto"/>
        </w:rPr>
        <w:t>are.</w:t>
      </w:r>
    </w:p>
    <w:p w14:paraId="112C25FB" w14:textId="77777777" w:rsidR="003974F6" w:rsidRPr="003974F6" w:rsidRDefault="00AA5672" w:rsidP="00A53C70">
      <w:pPr>
        <w:pStyle w:val="Body"/>
        <w:numPr>
          <w:ilvl w:val="0"/>
          <w:numId w:val="26"/>
        </w:numPr>
        <w:spacing w:before="60" w:line="288" w:lineRule="auto"/>
        <w:ind w:left="426" w:hanging="284"/>
        <w:rPr>
          <w:rFonts w:ascii="Arial" w:hAnsi="Arial" w:cs="Arial"/>
          <w:color w:val="auto"/>
        </w:rPr>
      </w:pPr>
      <w:r w:rsidRPr="00431860">
        <w:rPr>
          <w:rFonts w:ascii="Arial" w:hAnsi="Arial" w:cs="Arial"/>
        </w:rPr>
        <w:t>S</w:t>
      </w:r>
      <w:r w:rsidR="00C82553" w:rsidRPr="00431860">
        <w:rPr>
          <w:rFonts w:ascii="Arial" w:hAnsi="Arial" w:cs="Arial"/>
        </w:rPr>
        <w:t>har</w:t>
      </w:r>
      <w:r w:rsidRPr="00431860">
        <w:rPr>
          <w:rFonts w:ascii="Arial" w:hAnsi="Arial" w:cs="Arial"/>
        </w:rPr>
        <w:t>ing</w:t>
      </w:r>
      <w:r w:rsidR="00C82553" w:rsidRPr="00431860">
        <w:rPr>
          <w:rFonts w:ascii="Arial" w:hAnsi="Arial" w:cs="Arial"/>
        </w:rPr>
        <w:t xml:space="preserve"> information </w:t>
      </w:r>
      <w:r w:rsidR="00E02428" w:rsidRPr="00431860">
        <w:rPr>
          <w:rFonts w:ascii="Arial" w:hAnsi="Arial" w:cs="Arial"/>
        </w:rPr>
        <w:t>and guidance for sectors working for victims and survivors of abuse</w:t>
      </w:r>
      <w:r w:rsidR="00AD39F0" w:rsidRPr="00431860">
        <w:rPr>
          <w:rFonts w:ascii="Arial" w:hAnsi="Arial" w:cs="Arial"/>
        </w:rPr>
        <w:t xml:space="preserve"> with their multi-agency partners</w:t>
      </w:r>
    </w:p>
    <w:p w14:paraId="41CA5DBB" w14:textId="2F68F7D6" w:rsidR="005560DF" w:rsidRPr="003974F6" w:rsidRDefault="003974F6" w:rsidP="003974F6">
      <w:pPr>
        <w:pStyle w:val="Body"/>
        <w:spacing w:before="60" w:line="288" w:lineRule="auto"/>
        <w:rPr>
          <w:rFonts w:ascii="Arial" w:hAnsi="Arial" w:cs="Arial"/>
          <w:color w:val="00B050"/>
        </w:rPr>
      </w:pPr>
      <w:r w:rsidRPr="65D5D47B">
        <w:rPr>
          <w:rFonts w:ascii="Arial" w:hAnsi="Arial" w:cs="Arial"/>
          <w:color w:val="00B050"/>
        </w:rPr>
        <w:t xml:space="preserve">Ref: There is a document in the Toolkit written for health and care professionals working outside General Practice: </w:t>
      </w:r>
      <w:r w:rsidR="00AD39F0" w:rsidRPr="65D5D47B">
        <w:rPr>
          <w:rFonts w:ascii="Arial" w:hAnsi="Arial" w:cs="Arial"/>
          <w:color w:val="00B050"/>
        </w:rPr>
        <w:t xml:space="preserve">there is a specific document in the toolkit for this purpose: </w:t>
      </w:r>
      <w:r w:rsidRPr="65D5D47B">
        <w:rPr>
          <w:rFonts w:ascii="Arial" w:hAnsi="Arial" w:cs="Arial"/>
          <w:color w:val="00B050"/>
        </w:rPr>
        <w:t>“</w:t>
      </w:r>
      <w:r w:rsidRPr="65D5D47B">
        <w:rPr>
          <w:rFonts w:ascii="Arial" w:eastAsia="Arial" w:hAnsi="Arial" w:cs="Arial"/>
          <w:color w:val="00B050"/>
        </w:rPr>
        <w:t>Online GP Record Access for Other Sectors”.</w:t>
      </w:r>
    </w:p>
    <w:p w14:paraId="653F29C5" w14:textId="7727EF18" w:rsidR="00AA5672" w:rsidRPr="003974F6" w:rsidRDefault="00AA5672" w:rsidP="004717C9">
      <w:pPr>
        <w:pStyle w:val="ListParagraph"/>
        <w:numPr>
          <w:ilvl w:val="0"/>
          <w:numId w:val="24"/>
        </w:numPr>
        <w:spacing w:before="240" w:after="0" w:line="288" w:lineRule="auto"/>
        <w:ind w:left="425" w:hanging="357"/>
        <w:rPr>
          <w:rFonts w:ascii="Lato" w:hAnsi="Lato" w:cs="Arial"/>
          <w:color w:val="000000" w:themeColor="text1"/>
          <w:sz w:val="28"/>
          <w:szCs w:val="28"/>
        </w:rPr>
      </w:pPr>
      <w:r w:rsidRPr="003974F6">
        <w:rPr>
          <w:rFonts w:ascii="Lato" w:hAnsi="Lato" w:cs="Arial"/>
          <w:color w:val="000000" w:themeColor="text1"/>
          <w:sz w:val="28"/>
          <w:szCs w:val="28"/>
        </w:rPr>
        <w:t>Further information on domestic abuse</w:t>
      </w:r>
    </w:p>
    <w:p w14:paraId="43324C6C" w14:textId="1532249A" w:rsidR="00AA5672" w:rsidRPr="00AA5672" w:rsidRDefault="00AA5672" w:rsidP="008660C5">
      <w:pPr>
        <w:spacing w:before="120" w:after="0" w:line="288" w:lineRule="auto"/>
        <w:rPr>
          <w:rFonts w:ascii="Arial" w:hAnsi="Arial" w:cs="Arial"/>
        </w:rPr>
      </w:pPr>
      <w:r w:rsidRPr="73391C0D">
        <w:rPr>
          <w:rFonts w:ascii="Arial" w:hAnsi="Arial" w:cs="Arial"/>
        </w:rPr>
        <w:t xml:space="preserve">Data from </w:t>
      </w:r>
      <w:proofErr w:type="spellStart"/>
      <w:r w:rsidRPr="73391C0D">
        <w:rPr>
          <w:rFonts w:ascii="Arial" w:hAnsi="Arial" w:cs="Arial"/>
        </w:rPr>
        <w:t>SafeLives</w:t>
      </w:r>
      <w:proofErr w:type="spellEnd"/>
      <w:r w:rsidRPr="73391C0D">
        <w:rPr>
          <w:rFonts w:ascii="Arial" w:hAnsi="Arial" w:cs="Arial"/>
        </w:rPr>
        <w:t xml:space="preserve"> Pathfinder toolkit and Pathfinder Profile: General Practitioners</w:t>
      </w:r>
      <w:r w:rsidR="003974F6">
        <w:rPr>
          <w:rFonts w:ascii="Arial" w:hAnsi="Arial" w:cs="Arial"/>
        </w:rPr>
        <w:t xml:space="preserve"> (links above) helps describe the scale of the interaction between Primary Care and victims of domestic abuse</w:t>
      </w:r>
      <w:r w:rsidR="00431860">
        <w:rPr>
          <w:rFonts w:ascii="Arial" w:hAnsi="Arial" w:cs="Arial"/>
        </w:rPr>
        <w:t>:</w:t>
      </w:r>
    </w:p>
    <w:p w14:paraId="7BAAAD9D" w14:textId="77777777" w:rsidR="00AA5672" w:rsidRPr="008D3D44" w:rsidRDefault="00AA5672" w:rsidP="00AA5672">
      <w:pPr>
        <w:numPr>
          <w:ilvl w:val="0"/>
          <w:numId w:val="12"/>
        </w:numPr>
        <w:spacing w:before="120" w:after="0" w:line="288" w:lineRule="auto"/>
        <w:contextualSpacing/>
        <w:rPr>
          <w:rFonts w:ascii="Arial" w:hAnsi="Arial" w:cs="Arial"/>
        </w:rPr>
      </w:pPr>
      <w:r w:rsidRPr="008D3D44">
        <w:rPr>
          <w:rFonts w:ascii="Arial" w:hAnsi="Arial" w:cs="Arial"/>
        </w:rPr>
        <w:t>There is extensive contact between women and primary care clinicians with 90% of all female patients consulting their GP over a five-year period</w:t>
      </w:r>
      <w:r>
        <w:rPr>
          <w:rFonts w:ascii="Arial" w:hAnsi="Arial" w:cs="Arial"/>
        </w:rPr>
        <w:t>.</w:t>
      </w:r>
    </w:p>
    <w:p w14:paraId="5DD34CD4" w14:textId="27528277" w:rsidR="00AA5672" w:rsidRPr="008D3D44" w:rsidRDefault="00AA5672" w:rsidP="00AA5672">
      <w:pPr>
        <w:numPr>
          <w:ilvl w:val="0"/>
          <w:numId w:val="12"/>
        </w:numPr>
        <w:spacing w:before="120" w:after="0" w:line="288" w:lineRule="auto"/>
        <w:contextualSpacing/>
        <w:rPr>
          <w:rFonts w:ascii="Arial" w:hAnsi="Arial" w:cs="Arial"/>
        </w:rPr>
      </w:pPr>
      <w:r w:rsidRPr="60B1594E">
        <w:rPr>
          <w:rFonts w:ascii="Arial" w:hAnsi="Arial" w:cs="Arial"/>
        </w:rPr>
        <w:t xml:space="preserve">Approximately 80% of women in a violent relationship seek help from health services, usually GPs, at least once and this may be their first or only contact with professionals. </w:t>
      </w:r>
    </w:p>
    <w:p w14:paraId="0E375755" w14:textId="14B77D28" w:rsidR="00AA5672" w:rsidRPr="008D3D44" w:rsidRDefault="00AA5672" w:rsidP="00AA5672">
      <w:pPr>
        <w:numPr>
          <w:ilvl w:val="0"/>
          <w:numId w:val="12"/>
        </w:numPr>
        <w:spacing w:before="120" w:after="0" w:line="288" w:lineRule="auto"/>
        <w:contextualSpacing/>
        <w:rPr>
          <w:rFonts w:ascii="Arial" w:hAnsi="Arial" w:cs="Arial"/>
        </w:rPr>
      </w:pPr>
      <w:r w:rsidRPr="008D3D44">
        <w:rPr>
          <w:rFonts w:ascii="Arial" w:hAnsi="Arial" w:cs="Arial"/>
        </w:rPr>
        <w:t>and will visit their GP on average 4.3 times</w:t>
      </w:r>
      <w:r>
        <w:rPr>
          <w:rFonts w:ascii="Arial" w:hAnsi="Arial" w:cs="Arial"/>
        </w:rPr>
        <w:t>.</w:t>
      </w:r>
    </w:p>
    <w:p w14:paraId="73EE7884" w14:textId="5BD435FC" w:rsidR="00582831" w:rsidRPr="004717C9" w:rsidRDefault="00AA5672" w:rsidP="00AA5672">
      <w:pPr>
        <w:spacing w:before="120" w:after="0" w:line="288" w:lineRule="auto"/>
        <w:rPr>
          <w:rFonts w:ascii="Arial" w:hAnsi="Arial" w:cs="Arial"/>
        </w:rPr>
      </w:pPr>
      <w:r w:rsidRPr="73391C0D">
        <w:rPr>
          <w:rFonts w:ascii="Arial" w:hAnsi="Arial" w:cs="Arial"/>
        </w:rPr>
        <w:t xml:space="preserve">The duration of abuse before disclosure is likely to be much longer for some victims/survivors including older victims/survivors, and those who are Black, </w:t>
      </w:r>
      <w:proofErr w:type="gramStart"/>
      <w:r w:rsidRPr="73391C0D">
        <w:rPr>
          <w:rFonts w:ascii="Arial" w:hAnsi="Arial" w:cs="Arial"/>
        </w:rPr>
        <w:t>Asian</w:t>
      </w:r>
      <w:proofErr w:type="gramEnd"/>
      <w:r w:rsidRPr="73391C0D">
        <w:rPr>
          <w:rFonts w:ascii="Arial" w:hAnsi="Arial" w:cs="Arial"/>
        </w:rPr>
        <w:t xml:space="preserve"> and Minority Ethnic (BAME</w:t>
      </w:r>
      <w:r w:rsidR="00CD5A64">
        <w:rPr>
          <w:rFonts w:ascii="Arial" w:hAnsi="Arial" w:cs="Arial"/>
        </w:rPr>
        <w:t xml:space="preserve">) </w:t>
      </w:r>
      <w:r w:rsidRPr="73391C0D">
        <w:rPr>
          <w:rFonts w:ascii="Arial" w:hAnsi="Arial" w:cs="Arial"/>
        </w:rPr>
        <w:t>and/or disabled.  Disclosure is an opportunity for GPs to recognise domestic abuse and provide more effective care and support for their patients.</w:t>
      </w:r>
    </w:p>
    <w:p w14:paraId="5929F14A" w14:textId="1AD5ECFC" w:rsidR="00AA5672" w:rsidRPr="004717C9" w:rsidRDefault="00AA5672" w:rsidP="004717C9">
      <w:pPr>
        <w:pStyle w:val="ListParagraph"/>
        <w:numPr>
          <w:ilvl w:val="0"/>
          <w:numId w:val="24"/>
        </w:numPr>
        <w:spacing w:before="240" w:after="0" w:line="288" w:lineRule="auto"/>
        <w:ind w:left="567"/>
        <w:rPr>
          <w:rFonts w:ascii="Lato" w:hAnsi="Lato" w:cs="Arial"/>
          <w:color w:val="000000" w:themeColor="text1"/>
          <w:sz w:val="28"/>
          <w:szCs w:val="28"/>
          <w:shd w:val="clear" w:color="auto" w:fill="FFFFFF"/>
        </w:rPr>
      </w:pPr>
      <w:r w:rsidRPr="004717C9">
        <w:rPr>
          <w:rFonts w:ascii="Lato" w:hAnsi="Lato" w:cs="Arial"/>
          <w:color w:val="000000" w:themeColor="text1"/>
          <w:sz w:val="28"/>
          <w:szCs w:val="28"/>
        </w:rPr>
        <w:t xml:space="preserve"> Data from </w:t>
      </w:r>
      <w:proofErr w:type="spellStart"/>
      <w:r w:rsidRPr="004717C9">
        <w:rPr>
          <w:rFonts w:ascii="Lato" w:hAnsi="Lato" w:cs="Arial"/>
          <w:color w:val="000000" w:themeColor="text1"/>
          <w:sz w:val="28"/>
          <w:szCs w:val="28"/>
        </w:rPr>
        <w:t>SafeLives</w:t>
      </w:r>
      <w:proofErr w:type="spellEnd"/>
      <w:r w:rsidRPr="004717C9">
        <w:rPr>
          <w:rFonts w:ascii="Lato" w:hAnsi="Lato" w:cs="Arial"/>
          <w:color w:val="000000" w:themeColor="text1"/>
          <w:sz w:val="28"/>
          <w:szCs w:val="28"/>
        </w:rPr>
        <w:t xml:space="preserve"> Spotlight resources</w:t>
      </w:r>
    </w:p>
    <w:p w14:paraId="391A964D" w14:textId="77777777" w:rsidR="00AA5672" w:rsidRPr="004717C9" w:rsidRDefault="00AA5672" w:rsidP="004717C9">
      <w:pPr>
        <w:spacing w:before="120" w:after="0" w:line="288" w:lineRule="auto"/>
        <w:rPr>
          <w:rFonts w:ascii="Arial" w:hAnsi="Arial" w:cs="Arial"/>
          <w:color w:val="000000" w:themeColor="text1"/>
          <w:sz w:val="24"/>
          <w:szCs w:val="24"/>
          <w:shd w:val="clear" w:color="auto" w:fill="FFFFFF"/>
        </w:rPr>
      </w:pPr>
      <w:r w:rsidRPr="004717C9">
        <w:rPr>
          <w:rFonts w:ascii="Arial" w:hAnsi="Arial" w:cs="Arial"/>
          <w:color w:val="000000" w:themeColor="text1"/>
          <w:sz w:val="24"/>
          <w:szCs w:val="24"/>
          <w:shd w:val="clear" w:color="auto" w:fill="FFFFFF"/>
        </w:rPr>
        <w:t>Disabled people and domestic abuse</w:t>
      </w:r>
    </w:p>
    <w:p w14:paraId="4C04C976" w14:textId="77777777" w:rsidR="00AA5672" w:rsidRPr="008D3D44" w:rsidRDefault="00AA5672" w:rsidP="004717C9">
      <w:pPr>
        <w:numPr>
          <w:ilvl w:val="0"/>
          <w:numId w:val="8"/>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lastRenderedPageBreak/>
        <w:t>Disabled women are twice as likely to experience domestic abuse than non-disabled women</w:t>
      </w:r>
    </w:p>
    <w:p w14:paraId="6EB18443" w14:textId="77777777" w:rsidR="00AA5672" w:rsidRPr="008D3D44" w:rsidRDefault="00AA5672" w:rsidP="004717C9">
      <w:pPr>
        <w:numPr>
          <w:ilvl w:val="0"/>
          <w:numId w:val="8"/>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t>Disabled clients are much more likely to be suffering abuse from a current partner than non-disabled people</w:t>
      </w:r>
    </w:p>
    <w:p w14:paraId="513E52C3" w14:textId="66D2EA56" w:rsidR="00AA5672" w:rsidRPr="00AA5672" w:rsidRDefault="00AA5672" w:rsidP="004717C9">
      <w:pPr>
        <w:numPr>
          <w:ilvl w:val="0"/>
          <w:numId w:val="8"/>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t>Disabled clients are more likely to be experiencing abuse from an adult family member compared to non-disabled people</w:t>
      </w:r>
    </w:p>
    <w:p w14:paraId="5EF9EE96" w14:textId="77777777" w:rsidR="00AA5672" w:rsidRPr="004717C9" w:rsidRDefault="00AA5672" w:rsidP="004717C9">
      <w:pPr>
        <w:spacing w:before="120" w:after="0" w:line="288" w:lineRule="auto"/>
        <w:rPr>
          <w:rFonts w:ascii="Arial" w:hAnsi="Arial" w:cs="Arial"/>
          <w:color w:val="000000" w:themeColor="text1"/>
          <w:sz w:val="24"/>
          <w:szCs w:val="24"/>
          <w:shd w:val="clear" w:color="auto" w:fill="FFFFFF"/>
        </w:rPr>
      </w:pPr>
      <w:r w:rsidRPr="004717C9">
        <w:rPr>
          <w:rFonts w:ascii="Arial" w:hAnsi="Arial" w:cs="Arial"/>
          <w:color w:val="000000" w:themeColor="text1"/>
          <w:sz w:val="24"/>
          <w:szCs w:val="24"/>
          <w:shd w:val="clear" w:color="auto" w:fill="FFFFFF"/>
        </w:rPr>
        <w:t>Honour-based violence (HBV) and forced marriage</w:t>
      </w:r>
    </w:p>
    <w:p w14:paraId="3542D1FA" w14:textId="77777777" w:rsidR="00AA5672" w:rsidRPr="008D3D44" w:rsidRDefault="00AA5672" w:rsidP="004717C9">
      <w:pPr>
        <w:pStyle w:val="ListParagraph"/>
        <w:numPr>
          <w:ilvl w:val="0"/>
          <w:numId w:val="14"/>
        </w:numPr>
        <w:spacing w:before="60" w:after="0" w:line="288" w:lineRule="auto"/>
        <w:ind w:left="567"/>
        <w:contextualSpacing w:val="0"/>
        <w:rPr>
          <w:rFonts w:ascii="Arial" w:hAnsi="Arial" w:cs="Arial"/>
          <w:b/>
          <w:bCs/>
          <w:color w:val="000000" w:themeColor="text1"/>
          <w:shd w:val="clear" w:color="auto" w:fill="FFFFFF"/>
        </w:rPr>
      </w:pPr>
      <w:r w:rsidRPr="008D3D44">
        <w:rPr>
          <w:rFonts w:ascii="Arial" w:hAnsi="Arial" w:cs="Arial"/>
          <w:color w:val="000000" w:themeColor="text1"/>
          <w:shd w:val="clear" w:color="auto" w:fill="FFFFFF"/>
        </w:rPr>
        <w:t>Approximately 68% of victims of HBV were at high risk of serious harm or homicide</w:t>
      </w:r>
    </w:p>
    <w:p w14:paraId="051F5B77" w14:textId="7EA62AE0" w:rsidR="00AA5672" w:rsidRPr="00AA5672" w:rsidRDefault="00AA5672" w:rsidP="004717C9">
      <w:pPr>
        <w:numPr>
          <w:ilvl w:val="0"/>
          <w:numId w:val="9"/>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t>Victims at risk of HBV were more than 7 times more likely to be experiencing abuse from multiple perpetrators (54% vs 7%) compared to those not identified as at risk of HBV</w:t>
      </w:r>
    </w:p>
    <w:p w14:paraId="1F048BF2" w14:textId="77777777" w:rsidR="00AA5672" w:rsidRPr="004717C9" w:rsidRDefault="00AA5672" w:rsidP="004717C9">
      <w:pPr>
        <w:spacing w:before="120" w:after="0" w:line="288" w:lineRule="auto"/>
        <w:rPr>
          <w:rFonts w:ascii="Arial" w:hAnsi="Arial" w:cs="Arial"/>
          <w:color w:val="000000" w:themeColor="text1"/>
          <w:sz w:val="24"/>
          <w:szCs w:val="24"/>
          <w:shd w:val="clear" w:color="auto" w:fill="FFFFFF"/>
        </w:rPr>
      </w:pPr>
      <w:r w:rsidRPr="004717C9">
        <w:rPr>
          <w:rFonts w:ascii="Arial" w:hAnsi="Arial" w:cs="Arial"/>
          <w:color w:val="000000" w:themeColor="text1"/>
          <w:sz w:val="24"/>
          <w:szCs w:val="24"/>
          <w:shd w:val="clear" w:color="auto" w:fill="FFFFFF"/>
        </w:rPr>
        <w:t>Older people and domestic abuse</w:t>
      </w:r>
    </w:p>
    <w:p w14:paraId="0C7980BC" w14:textId="77777777" w:rsidR="00AA5672" w:rsidRPr="008D3D44" w:rsidRDefault="00AA5672" w:rsidP="004717C9">
      <w:pPr>
        <w:numPr>
          <w:ilvl w:val="0"/>
          <w:numId w:val="10"/>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t>Victims aged 61+ are much more likely to experience abuse from an adult family member or current intimate partner than those 60 and under</w:t>
      </w:r>
    </w:p>
    <w:p w14:paraId="082B6A4E" w14:textId="5B536CB4" w:rsidR="00AA5672" w:rsidRPr="00AA5672" w:rsidRDefault="00AA5672" w:rsidP="004717C9">
      <w:pPr>
        <w:numPr>
          <w:ilvl w:val="0"/>
          <w:numId w:val="10"/>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t xml:space="preserve">Older victims are significantly more likely to have a disability – for a third (34%), this is physical </w:t>
      </w:r>
    </w:p>
    <w:p w14:paraId="0499E78A" w14:textId="281956CD" w:rsidR="00AA5672" w:rsidRPr="004717C9" w:rsidRDefault="00AA5672" w:rsidP="004717C9">
      <w:pPr>
        <w:spacing w:before="60" w:after="0" w:line="288" w:lineRule="auto"/>
        <w:rPr>
          <w:rFonts w:ascii="Arial" w:hAnsi="Arial" w:cs="Arial"/>
          <w:color w:val="000000" w:themeColor="text1"/>
          <w:shd w:val="clear" w:color="auto" w:fill="FFFFFF"/>
        </w:rPr>
      </w:pPr>
      <w:r w:rsidRPr="004717C9">
        <w:rPr>
          <w:rFonts w:ascii="Arial" w:hAnsi="Arial" w:cs="Arial"/>
          <w:color w:val="000000" w:themeColor="text1"/>
          <w:sz w:val="24"/>
          <w:szCs w:val="24"/>
          <w:shd w:val="clear" w:color="auto" w:fill="FFFFFF"/>
        </w:rPr>
        <w:t>LGBT (</w:t>
      </w:r>
      <w:r w:rsidR="60B1594E" w:rsidRPr="004717C9">
        <w:rPr>
          <w:rFonts w:ascii="Arial" w:hAnsi="Arial" w:cs="Arial"/>
          <w:color w:val="000000" w:themeColor="text1"/>
          <w:sz w:val="24"/>
          <w:szCs w:val="24"/>
          <w:shd w:val="clear" w:color="auto" w:fill="FFFFFF"/>
        </w:rPr>
        <w:t xml:space="preserve">lesbian, gay, bisexual, and transgender) </w:t>
      </w:r>
      <w:r w:rsidRPr="004717C9">
        <w:rPr>
          <w:rFonts w:ascii="Arial" w:hAnsi="Arial" w:cs="Arial"/>
          <w:color w:val="000000" w:themeColor="text1"/>
          <w:sz w:val="24"/>
          <w:szCs w:val="24"/>
          <w:shd w:val="clear" w:color="auto" w:fill="FFFFFF"/>
        </w:rPr>
        <w:t>+ individuals and domestic abuse</w:t>
      </w:r>
    </w:p>
    <w:p w14:paraId="7FD810AB" w14:textId="07D07655" w:rsidR="00AA5672" w:rsidRPr="00AA5672" w:rsidRDefault="00AA5672" w:rsidP="004717C9">
      <w:pPr>
        <w:numPr>
          <w:ilvl w:val="0"/>
          <w:numId w:val="11"/>
        </w:numPr>
        <w:spacing w:before="60" w:after="0" w:line="288" w:lineRule="auto"/>
        <w:ind w:left="567"/>
        <w:rPr>
          <w:rFonts w:ascii="Arial" w:hAnsi="Arial" w:cs="Arial"/>
          <w:color w:val="000000" w:themeColor="text1"/>
          <w:shd w:val="clear" w:color="auto" w:fill="FFFFFF"/>
        </w:rPr>
      </w:pPr>
      <w:r w:rsidRPr="008D3D44">
        <w:rPr>
          <w:rFonts w:ascii="Arial" w:hAnsi="Arial" w:cs="Arial"/>
          <w:color w:val="000000" w:themeColor="text1"/>
          <w:shd w:val="clear" w:color="auto" w:fill="FFFFFF"/>
        </w:rPr>
        <w:t>LGBT+ victims of domestic abuse are more likely to be abused by multiple perpetrators</w:t>
      </w:r>
    </w:p>
    <w:p w14:paraId="1F046D54" w14:textId="77777777" w:rsidR="00AA5672" w:rsidRPr="004717C9" w:rsidRDefault="00AA5672" w:rsidP="004717C9">
      <w:pPr>
        <w:spacing w:before="120" w:after="0" w:line="288" w:lineRule="auto"/>
        <w:rPr>
          <w:rFonts w:ascii="Arial" w:hAnsi="Arial" w:cs="Arial"/>
          <w:color w:val="000000" w:themeColor="text1"/>
          <w:sz w:val="24"/>
          <w:szCs w:val="24"/>
          <w:shd w:val="clear" w:color="auto" w:fill="FFFFFF"/>
        </w:rPr>
      </w:pPr>
      <w:r w:rsidRPr="004717C9">
        <w:rPr>
          <w:rFonts w:ascii="Arial" w:hAnsi="Arial" w:cs="Arial"/>
          <w:color w:val="000000" w:themeColor="text1"/>
          <w:sz w:val="24"/>
          <w:szCs w:val="24"/>
          <w:shd w:val="clear" w:color="auto" w:fill="FFFFFF"/>
        </w:rPr>
        <w:t>Domestic abuse and mental health</w:t>
      </w:r>
    </w:p>
    <w:p w14:paraId="66DD3F61" w14:textId="63585B77" w:rsidR="00AA5672" w:rsidRPr="00AA5672" w:rsidRDefault="00AA5672" w:rsidP="004717C9">
      <w:pPr>
        <w:pStyle w:val="ListParagraph"/>
        <w:numPr>
          <w:ilvl w:val="0"/>
          <w:numId w:val="11"/>
        </w:numPr>
        <w:spacing w:before="60" w:after="0" w:line="288" w:lineRule="auto"/>
        <w:ind w:left="567"/>
        <w:contextualSpacing w:val="0"/>
        <w:rPr>
          <w:rFonts w:ascii="Arial" w:hAnsi="Arial" w:cs="Arial"/>
          <w:color w:val="000000" w:themeColor="text1"/>
          <w:shd w:val="clear" w:color="auto" w:fill="FFFFFF"/>
        </w:rPr>
      </w:pPr>
      <w:r w:rsidRPr="00AA5672">
        <w:rPr>
          <w:rFonts w:ascii="Arial" w:hAnsi="Arial" w:cs="Arial"/>
          <w:color w:val="000000" w:themeColor="text1"/>
          <w:shd w:val="clear" w:color="auto" w:fill="FFFFFF"/>
        </w:rPr>
        <w:t>Victims of domestic abuse with mental health needs were more likely to have visited their GP and Accident and Emergency (A&amp;E) before accessing support for the abuse.</w:t>
      </w:r>
    </w:p>
    <w:p w14:paraId="4929ACB6" w14:textId="66F48313" w:rsidR="003B190B" w:rsidRPr="003C6277" w:rsidRDefault="003B190B" w:rsidP="004717C9">
      <w:pPr>
        <w:spacing w:before="60" w:after="0" w:line="288" w:lineRule="auto"/>
        <w:ind w:left="567"/>
        <w:rPr>
          <w:rFonts w:ascii="Arial" w:hAnsi="Arial" w:cs="Arial"/>
          <w:b/>
          <w:bCs/>
        </w:rPr>
      </w:pPr>
    </w:p>
    <w:sectPr w:rsidR="003B190B" w:rsidRPr="003C6277">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C5D4" w14:textId="77777777" w:rsidR="00811B35" w:rsidRDefault="00811B35" w:rsidP="008D3D44">
      <w:pPr>
        <w:spacing w:after="0" w:line="240" w:lineRule="auto"/>
      </w:pPr>
      <w:r>
        <w:separator/>
      </w:r>
    </w:p>
  </w:endnote>
  <w:endnote w:type="continuationSeparator" w:id="0">
    <w:p w14:paraId="2A5EFBB8" w14:textId="77777777" w:rsidR="00811B35" w:rsidRDefault="00811B35" w:rsidP="008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AF8A" w14:textId="34B9C902" w:rsidR="00AC48E2" w:rsidRDefault="00AC48E2" w:rsidP="00CB4AA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37166934" w14:textId="77777777" w:rsidR="00AC48E2" w:rsidRDefault="00AC48E2" w:rsidP="00CB4AA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2217814"/>
      <w:docPartObj>
        <w:docPartGallery w:val="Page Numbers (Bottom of Page)"/>
        <w:docPartUnique/>
      </w:docPartObj>
    </w:sdtPr>
    <w:sdtContent>
      <w:p w14:paraId="5D804F14" w14:textId="174AEC55" w:rsidR="00AC48E2" w:rsidRDefault="00AC48E2" w:rsidP="00CB4AA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0A400B" w14:textId="2ED7C8D4" w:rsidR="00AC48E2" w:rsidRDefault="00CB4AAE" w:rsidP="00AC1310">
    <w:pPr>
      <w:pStyle w:val="Footer"/>
      <w:tabs>
        <w:tab w:val="clear" w:pos="4513"/>
        <w:tab w:val="left" w:pos="3119"/>
        <w:tab w:val="left" w:pos="3828"/>
        <w:tab w:val="center" w:pos="6663"/>
      </w:tabs>
      <w:ind w:right="360" w:firstLine="360"/>
      <w:jc w:val="right"/>
    </w:pPr>
    <w:r>
      <w:tab/>
    </w:r>
    <w:r w:rsidR="00AC48E2">
      <w:t xml:space="preserve">Safeguarding and automatic record access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D439" w14:textId="77777777" w:rsidR="00811B35" w:rsidRDefault="00811B35" w:rsidP="008D3D44">
      <w:pPr>
        <w:spacing w:after="0" w:line="240" w:lineRule="auto"/>
      </w:pPr>
      <w:r>
        <w:separator/>
      </w:r>
    </w:p>
  </w:footnote>
  <w:footnote w:type="continuationSeparator" w:id="0">
    <w:p w14:paraId="0D2DC99A" w14:textId="77777777" w:rsidR="00811B35" w:rsidRDefault="00811B35" w:rsidP="008D3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AEA1" w14:textId="4FB19C8D" w:rsidR="008D3D44" w:rsidRDefault="008D3D44" w:rsidP="008D3D44">
    <w:pPr>
      <w:pStyle w:val="Header"/>
    </w:pPr>
  </w:p>
  <w:p w14:paraId="17E988A7" w14:textId="77777777" w:rsidR="00A67D1C" w:rsidRDefault="00A67D1C" w:rsidP="008D3D44">
    <w:pPr>
      <w:pStyle w:val="Header"/>
    </w:pPr>
  </w:p>
  <w:p w14:paraId="0AD5F0E5" w14:textId="77777777" w:rsidR="008D3D44" w:rsidRDefault="008D3D4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3E5"/>
    <w:multiLevelType w:val="hybridMultilevel"/>
    <w:tmpl w:val="8B92E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6FFE"/>
    <w:multiLevelType w:val="hybridMultilevel"/>
    <w:tmpl w:val="4D087DFA"/>
    <w:lvl w:ilvl="0" w:tplc="4D04E05A">
      <w:start w:val="1"/>
      <w:numFmt w:val="decimal"/>
      <w:lvlText w:val="%1."/>
      <w:lvlJc w:val="left"/>
      <w:pPr>
        <w:ind w:left="720" w:hanging="360"/>
      </w:pPr>
    </w:lvl>
    <w:lvl w:ilvl="1" w:tplc="5E3E091E">
      <w:start w:val="1"/>
      <w:numFmt w:val="lowerLetter"/>
      <w:lvlText w:val="%2."/>
      <w:lvlJc w:val="left"/>
      <w:pPr>
        <w:ind w:left="1440" w:hanging="360"/>
      </w:pPr>
    </w:lvl>
    <w:lvl w:ilvl="2" w:tplc="3A16E480">
      <w:start w:val="1"/>
      <w:numFmt w:val="lowerRoman"/>
      <w:lvlText w:val="%3."/>
      <w:lvlJc w:val="right"/>
      <w:pPr>
        <w:ind w:left="2160" w:hanging="180"/>
      </w:pPr>
    </w:lvl>
    <w:lvl w:ilvl="3" w:tplc="B2889BBC">
      <w:start w:val="1"/>
      <w:numFmt w:val="decimal"/>
      <w:lvlText w:val="%4."/>
      <w:lvlJc w:val="left"/>
      <w:pPr>
        <w:ind w:left="2880" w:hanging="360"/>
      </w:pPr>
    </w:lvl>
    <w:lvl w:ilvl="4" w:tplc="F28A4B16">
      <w:start w:val="1"/>
      <w:numFmt w:val="lowerLetter"/>
      <w:lvlText w:val="%5."/>
      <w:lvlJc w:val="left"/>
      <w:pPr>
        <w:ind w:left="3600" w:hanging="360"/>
      </w:pPr>
    </w:lvl>
    <w:lvl w:ilvl="5" w:tplc="13F86366">
      <w:start w:val="1"/>
      <w:numFmt w:val="lowerRoman"/>
      <w:lvlText w:val="%6."/>
      <w:lvlJc w:val="right"/>
      <w:pPr>
        <w:ind w:left="4320" w:hanging="180"/>
      </w:pPr>
    </w:lvl>
    <w:lvl w:ilvl="6" w:tplc="B8E6DD5C">
      <w:start w:val="1"/>
      <w:numFmt w:val="decimal"/>
      <w:lvlText w:val="%7."/>
      <w:lvlJc w:val="left"/>
      <w:pPr>
        <w:ind w:left="5040" w:hanging="360"/>
      </w:pPr>
    </w:lvl>
    <w:lvl w:ilvl="7" w:tplc="B8AA09A4">
      <w:start w:val="1"/>
      <w:numFmt w:val="lowerLetter"/>
      <w:lvlText w:val="%8."/>
      <w:lvlJc w:val="left"/>
      <w:pPr>
        <w:ind w:left="5760" w:hanging="360"/>
      </w:pPr>
    </w:lvl>
    <w:lvl w:ilvl="8" w:tplc="35904540">
      <w:start w:val="1"/>
      <w:numFmt w:val="lowerRoman"/>
      <w:lvlText w:val="%9."/>
      <w:lvlJc w:val="right"/>
      <w:pPr>
        <w:ind w:left="6480" w:hanging="180"/>
      </w:pPr>
    </w:lvl>
  </w:abstractNum>
  <w:abstractNum w:abstractNumId="2" w15:restartNumberingAfterBreak="0">
    <w:nsid w:val="14FE140E"/>
    <w:multiLevelType w:val="hybridMultilevel"/>
    <w:tmpl w:val="05C6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75D0D"/>
    <w:multiLevelType w:val="multilevel"/>
    <w:tmpl w:val="1B10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20E60"/>
    <w:multiLevelType w:val="hybridMultilevel"/>
    <w:tmpl w:val="3FC4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40C2D"/>
    <w:multiLevelType w:val="hybridMultilevel"/>
    <w:tmpl w:val="A4EED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512BE"/>
    <w:multiLevelType w:val="hybridMultilevel"/>
    <w:tmpl w:val="513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94E6F"/>
    <w:multiLevelType w:val="hybridMultilevel"/>
    <w:tmpl w:val="850A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B648B"/>
    <w:multiLevelType w:val="hybridMultilevel"/>
    <w:tmpl w:val="F8F2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34E31"/>
    <w:multiLevelType w:val="hybridMultilevel"/>
    <w:tmpl w:val="D412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7752E"/>
    <w:multiLevelType w:val="hybridMultilevel"/>
    <w:tmpl w:val="8E9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37E05"/>
    <w:multiLevelType w:val="hybridMultilevel"/>
    <w:tmpl w:val="B140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80CAF"/>
    <w:multiLevelType w:val="hybridMultilevel"/>
    <w:tmpl w:val="2AE2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8718A"/>
    <w:multiLevelType w:val="hybridMultilevel"/>
    <w:tmpl w:val="625A9432"/>
    <w:lvl w:ilvl="0" w:tplc="F36050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DF08B1"/>
    <w:multiLevelType w:val="hybridMultilevel"/>
    <w:tmpl w:val="8F229F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9971DF"/>
    <w:multiLevelType w:val="hybridMultilevel"/>
    <w:tmpl w:val="7BE46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BA705D"/>
    <w:multiLevelType w:val="hybridMultilevel"/>
    <w:tmpl w:val="E5DA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63465"/>
    <w:multiLevelType w:val="hybridMultilevel"/>
    <w:tmpl w:val="69A45910"/>
    <w:lvl w:ilvl="0" w:tplc="08090011">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8352C0"/>
    <w:multiLevelType w:val="hybridMultilevel"/>
    <w:tmpl w:val="B860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E32F1"/>
    <w:multiLevelType w:val="hybridMultilevel"/>
    <w:tmpl w:val="F528BB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AA66D1"/>
    <w:multiLevelType w:val="hybridMultilevel"/>
    <w:tmpl w:val="AA74C5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C67E27"/>
    <w:multiLevelType w:val="hybridMultilevel"/>
    <w:tmpl w:val="F15AB660"/>
    <w:lvl w:ilvl="0" w:tplc="A1AE0D92">
      <w:start w:val="1"/>
      <w:numFmt w:val="bullet"/>
      <w:lvlText w:val="–"/>
      <w:lvlJc w:val="left"/>
      <w:pPr>
        <w:ind w:left="609" w:hanging="249"/>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C6D5224"/>
    <w:multiLevelType w:val="hybridMultilevel"/>
    <w:tmpl w:val="DFBC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047AA4"/>
    <w:multiLevelType w:val="hybridMultilevel"/>
    <w:tmpl w:val="869C9C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324978"/>
    <w:multiLevelType w:val="hybridMultilevel"/>
    <w:tmpl w:val="355E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1742C"/>
    <w:multiLevelType w:val="hybridMultilevel"/>
    <w:tmpl w:val="3482BFA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432092666">
    <w:abstractNumId w:val="1"/>
  </w:num>
  <w:num w:numId="2" w16cid:durableId="407850807">
    <w:abstractNumId w:val="7"/>
  </w:num>
  <w:num w:numId="3" w16cid:durableId="1745837164">
    <w:abstractNumId w:val="6"/>
  </w:num>
  <w:num w:numId="4" w16cid:durableId="860434917">
    <w:abstractNumId w:val="8"/>
  </w:num>
  <w:num w:numId="5" w16cid:durableId="672876329">
    <w:abstractNumId w:val="10"/>
  </w:num>
  <w:num w:numId="6" w16cid:durableId="59795653">
    <w:abstractNumId w:val="12"/>
  </w:num>
  <w:num w:numId="7" w16cid:durableId="1234588405">
    <w:abstractNumId w:val="20"/>
  </w:num>
  <w:num w:numId="8" w16cid:durableId="925456733">
    <w:abstractNumId w:val="9"/>
  </w:num>
  <w:num w:numId="9" w16cid:durableId="1679187002">
    <w:abstractNumId w:val="11"/>
  </w:num>
  <w:num w:numId="10" w16cid:durableId="1656183104">
    <w:abstractNumId w:val="2"/>
  </w:num>
  <w:num w:numId="11" w16cid:durableId="1879508828">
    <w:abstractNumId w:val="24"/>
  </w:num>
  <w:num w:numId="12" w16cid:durableId="1096754053">
    <w:abstractNumId w:val="4"/>
  </w:num>
  <w:num w:numId="13" w16cid:durableId="882907022">
    <w:abstractNumId w:val="18"/>
  </w:num>
  <w:num w:numId="14" w16cid:durableId="896546131">
    <w:abstractNumId w:val="22"/>
  </w:num>
  <w:num w:numId="15" w16cid:durableId="1167673411">
    <w:abstractNumId w:val="16"/>
  </w:num>
  <w:num w:numId="16" w16cid:durableId="1068454690">
    <w:abstractNumId w:val="0"/>
  </w:num>
  <w:num w:numId="17" w16cid:durableId="1821575036">
    <w:abstractNumId w:val="14"/>
  </w:num>
  <w:num w:numId="18" w16cid:durableId="1392271081">
    <w:abstractNumId w:val="17"/>
  </w:num>
  <w:num w:numId="19" w16cid:durableId="1913463643">
    <w:abstractNumId w:val="15"/>
  </w:num>
  <w:num w:numId="20" w16cid:durableId="487213296">
    <w:abstractNumId w:val="3"/>
  </w:num>
  <w:num w:numId="21" w16cid:durableId="1237282273">
    <w:abstractNumId w:val="25"/>
  </w:num>
  <w:num w:numId="22" w16cid:durableId="1346205039">
    <w:abstractNumId w:val="19"/>
  </w:num>
  <w:num w:numId="23" w16cid:durableId="1124806829">
    <w:abstractNumId w:val="5"/>
  </w:num>
  <w:num w:numId="24" w16cid:durableId="368451692">
    <w:abstractNumId w:val="13"/>
  </w:num>
  <w:num w:numId="25" w16cid:durableId="1862744977">
    <w:abstractNumId w:val="21"/>
  </w:num>
  <w:num w:numId="26" w16cid:durableId="117757409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F2"/>
    <w:rsid w:val="00020BF8"/>
    <w:rsid w:val="00047805"/>
    <w:rsid w:val="00054CA4"/>
    <w:rsid w:val="00062727"/>
    <w:rsid w:val="00107328"/>
    <w:rsid w:val="00117CED"/>
    <w:rsid w:val="001507F7"/>
    <w:rsid w:val="00157A6D"/>
    <w:rsid w:val="001B080E"/>
    <w:rsid w:val="001B453B"/>
    <w:rsid w:val="001B89CA"/>
    <w:rsid w:val="001C6A34"/>
    <w:rsid w:val="001F6B17"/>
    <w:rsid w:val="00201C3C"/>
    <w:rsid w:val="00240508"/>
    <w:rsid w:val="00264091"/>
    <w:rsid w:val="002B5412"/>
    <w:rsid w:val="002B68DA"/>
    <w:rsid w:val="002C3062"/>
    <w:rsid w:val="002C3C7A"/>
    <w:rsid w:val="002D6B4D"/>
    <w:rsid w:val="002F26FE"/>
    <w:rsid w:val="002F70E6"/>
    <w:rsid w:val="00302568"/>
    <w:rsid w:val="00313B69"/>
    <w:rsid w:val="00330EB6"/>
    <w:rsid w:val="00361643"/>
    <w:rsid w:val="003740EB"/>
    <w:rsid w:val="003768BE"/>
    <w:rsid w:val="00382049"/>
    <w:rsid w:val="00385E86"/>
    <w:rsid w:val="003974F6"/>
    <w:rsid w:val="003B190B"/>
    <w:rsid w:val="003B2863"/>
    <w:rsid w:val="003C05CE"/>
    <w:rsid w:val="003C479F"/>
    <w:rsid w:val="003C6277"/>
    <w:rsid w:val="003D3236"/>
    <w:rsid w:val="003F0D17"/>
    <w:rsid w:val="004056AE"/>
    <w:rsid w:val="00411D83"/>
    <w:rsid w:val="0041435A"/>
    <w:rsid w:val="00416A08"/>
    <w:rsid w:val="00431860"/>
    <w:rsid w:val="00442A45"/>
    <w:rsid w:val="00470AB5"/>
    <w:rsid w:val="004717C9"/>
    <w:rsid w:val="0047503B"/>
    <w:rsid w:val="00486FC8"/>
    <w:rsid w:val="004A025E"/>
    <w:rsid w:val="004D04E3"/>
    <w:rsid w:val="004D0F86"/>
    <w:rsid w:val="004D1F00"/>
    <w:rsid w:val="004F1018"/>
    <w:rsid w:val="005155A0"/>
    <w:rsid w:val="0053102B"/>
    <w:rsid w:val="0054475A"/>
    <w:rsid w:val="005560DF"/>
    <w:rsid w:val="00582831"/>
    <w:rsid w:val="005A72F3"/>
    <w:rsid w:val="005B0DE1"/>
    <w:rsid w:val="00650684"/>
    <w:rsid w:val="00656F7F"/>
    <w:rsid w:val="006740B6"/>
    <w:rsid w:val="00674C51"/>
    <w:rsid w:val="006847CD"/>
    <w:rsid w:val="006B649D"/>
    <w:rsid w:val="006B797C"/>
    <w:rsid w:val="006C0EB3"/>
    <w:rsid w:val="006C1598"/>
    <w:rsid w:val="006C7394"/>
    <w:rsid w:val="006C7A50"/>
    <w:rsid w:val="006D3EE2"/>
    <w:rsid w:val="00713719"/>
    <w:rsid w:val="00716EDC"/>
    <w:rsid w:val="00733B53"/>
    <w:rsid w:val="00753442"/>
    <w:rsid w:val="007554DF"/>
    <w:rsid w:val="00763CD9"/>
    <w:rsid w:val="00782C14"/>
    <w:rsid w:val="00782DDE"/>
    <w:rsid w:val="00796667"/>
    <w:rsid w:val="007C58C3"/>
    <w:rsid w:val="007D1D34"/>
    <w:rsid w:val="007E01B6"/>
    <w:rsid w:val="00800DC2"/>
    <w:rsid w:val="00811B35"/>
    <w:rsid w:val="00823FBD"/>
    <w:rsid w:val="0082473B"/>
    <w:rsid w:val="00863096"/>
    <w:rsid w:val="008D3D44"/>
    <w:rsid w:val="00910725"/>
    <w:rsid w:val="009428F2"/>
    <w:rsid w:val="00965AD9"/>
    <w:rsid w:val="00975C78"/>
    <w:rsid w:val="009A161A"/>
    <w:rsid w:val="009A7F4C"/>
    <w:rsid w:val="009C3138"/>
    <w:rsid w:val="009F0211"/>
    <w:rsid w:val="009F2CEC"/>
    <w:rsid w:val="009F5C02"/>
    <w:rsid w:val="009F70FD"/>
    <w:rsid w:val="00A006AF"/>
    <w:rsid w:val="00A04F11"/>
    <w:rsid w:val="00A102C5"/>
    <w:rsid w:val="00A34487"/>
    <w:rsid w:val="00A53C70"/>
    <w:rsid w:val="00A67D1C"/>
    <w:rsid w:val="00A721FB"/>
    <w:rsid w:val="00AA538C"/>
    <w:rsid w:val="00AA5672"/>
    <w:rsid w:val="00AB025A"/>
    <w:rsid w:val="00AC1310"/>
    <w:rsid w:val="00AC48E2"/>
    <w:rsid w:val="00AC7036"/>
    <w:rsid w:val="00AD1F40"/>
    <w:rsid w:val="00AD39F0"/>
    <w:rsid w:val="00AD4BCD"/>
    <w:rsid w:val="00AF0873"/>
    <w:rsid w:val="00B05F6D"/>
    <w:rsid w:val="00B13936"/>
    <w:rsid w:val="00B92D8C"/>
    <w:rsid w:val="00BA3AF6"/>
    <w:rsid w:val="00BA46BB"/>
    <w:rsid w:val="00BC4615"/>
    <w:rsid w:val="00BE3B12"/>
    <w:rsid w:val="00C16E46"/>
    <w:rsid w:val="00C236EF"/>
    <w:rsid w:val="00C2780E"/>
    <w:rsid w:val="00C33984"/>
    <w:rsid w:val="00C75878"/>
    <w:rsid w:val="00C77CE3"/>
    <w:rsid w:val="00C81C96"/>
    <w:rsid w:val="00C82553"/>
    <w:rsid w:val="00CB4AAE"/>
    <w:rsid w:val="00CD5A64"/>
    <w:rsid w:val="00CE02A3"/>
    <w:rsid w:val="00CF246D"/>
    <w:rsid w:val="00D34D01"/>
    <w:rsid w:val="00D41659"/>
    <w:rsid w:val="00D41B26"/>
    <w:rsid w:val="00D455F1"/>
    <w:rsid w:val="00D46829"/>
    <w:rsid w:val="00D80BA8"/>
    <w:rsid w:val="00DA042E"/>
    <w:rsid w:val="00DA4829"/>
    <w:rsid w:val="00DA526E"/>
    <w:rsid w:val="00DE56D5"/>
    <w:rsid w:val="00E02428"/>
    <w:rsid w:val="00E152F2"/>
    <w:rsid w:val="00E1577B"/>
    <w:rsid w:val="00E326E4"/>
    <w:rsid w:val="00E44DED"/>
    <w:rsid w:val="00E66A0C"/>
    <w:rsid w:val="00E7570C"/>
    <w:rsid w:val="00EE5104"/>
    <w:rsid w:val="00F06F60"/>
    <w:rsid w:val="00F2AECF"/>
    <w:rsid w:val="00F32177"/>
    <w:rsid w:val="00F38701"/>
    <w:rsid w:val="00F670A8"/>
    <w:rsid w:val="01037F37"/>
    <w:rsid w:val="012180A2"/>
    <w:rsid w:val="01389320"/>
    <w:rsid w:val="013BC0E2"/>
    <w:rsid w:val="01E122D6"/>
    <w:rsid w:val="02251BB5"/>
    <w:rsid w:val="02E0BA10"/>
    <w:rsid w:val="02F99BB6"/>
    <w:rsid w:val="03843CD0"/>
    <w:rsid w:val="03971367"/>
    <w:rsid w:val="04034A1C"/>
    <w:rsid w:val="04730AF4"/>
    <w:rsid w:val="05162F96"/>
    <w:rsid w:val="0532BD3D"/>
    <w:rsid w:val="05C0FF8B"/>
    <w:rsid w:val="063EFBF3"/>
    <w:rsid w:val="064A253B"/>
    <w:rsid w:val="068EAE3A"/>
    <w:rsid w:val="06A4ECB9"/>
    <w:rsid w:val="06C76CFF"/>
    <w:rsid w:val="07140891"/>
    <w:rsid w:val="07A887CC"/>
    <w:rsid w:val="089F09F0"/>
    <w:rsid w:val="09467F73"/>
    <w:rsid w:val="09769CB5"/>
    <w:rsid w:val="09AEE4B4"/>
    <w:rsid w:val="0A9E7817"/>
    <w:rsid w:val="0AF944B9"/>
    <w:rsid w:val="0D40289F"/>
    <w:rsid w:val="0D56D8E8"/>
    <w:rsid w:val="0D940277"/>
    <w:rsid w:val="0E30E57B"/>
    <w:rsid w:val="0E57F21D"/>
    <w:rsid w:val="0EFA08CC"/>
    <w:rsid w:val="0F9E2307"/>
    <w:rsid w:val="0FB430E9"/>
    <w:rsid w:val="1074CD21"/>
    <w:rsid w:val="107CB0D0"/>
    <w:rsid w:val="10C84E4F"/>
    <w:rsid w:val="10D84A62"/>
    <w:rsid w:val="112F7996"/>
    <w:rsid w:val="1150014A"/>
    <w:rsid w:val="128932A5"/>
    <w:rsid w:val="132CA452"/>
    <w:rsid w:val="14362E16"/>
    <w:rsid w:val="145358A7"/>
    <w:rsid w:val="14AC45C1"/>
    <w:rsid w:val="1582FFB5"/>
    <w:rsid w:val="1625ED47"/>
    <w:rsid w:val="1635004F"/>
    <w:rsid w:val="1686447F"/>
    <w:rsid w:val="16B7B684"/>
    <w:rsid w:val="17EA79E8"/>
    <w:rsid w:val="181884DF"/>
    <w:rsid w:val="192BDCF0"/>
    <w:rsid w:val="1993573B"/>
    <w:rsid w:val="199BE5D6"/>
    <w:rsid w:val="19AE636A"/>
    <w:rsid w:val="1A0D88FD"/>
    <w:rsid w:val="1A76400B"/>
    <w:rsid w:val="1A7EEE2A"/>
    <w:rsid w:val="1AA8D126"/>
    <w:rsid w:val="1B087172"/>
    <w:rsid w:val="1B7B7966"/>
    <w:rsid w:val="1C12106C"/>
    <w:rsid w:val="1CB573D1"/>
    <w:rsid w:val="1D1749C7"/>
    <w:rsid w:val="1DBBD030"/>
    <w:rsid w:val="1DD4F88D"/>
    <w:rsid w:val="1E81D48D"/>
    <w:rsid w:val="1E9CA541"/>
    <w:rsid w:val="1EB7106F"/>
    <w:rsid w:val="1EDE8876"/>
    <w:rsid w:val="1F3971D9"/>
    <w:rsid w:val="1F85F321"/>
    <w:rsid w:val="1F9ABFDB"/>
    <w:rsid w:val="201DA4EE"/>
    <w:rsid w:val="201F9535"/>
    <w:rsid w:val="20EEB85E"/>
    <w:rsid w:val="22162938"/>
    <w:rsid w:val="22266D9F"/>
    <w:rsid w:val="2255E9DD"/>
    <w:rsid w:val="22677C6B"/>
    <w:rsid w:val="22B27BAE"/>
    <w:rsid w:val="2318902C"/>
    <w:rsid w:val="23546895"/>
    <w:rsid w:val="24431456"/>
    <w:rsid w:val="24A48156"/>
    <w:rsid w:val="25668E44"/>
    <w:rsid w:val="25FEABEB"/>
    <w:rsid w:val="26B3D9BF"/>
    <w:rsid w:val="2856DC41"/>
    <w:rsid w:val="28EF92C3"/>
    <w:rsid w:val="29074D08"/>
    <w:rsid w:val="29168579"/>
    <w:rsid w:val="299D3EDC"/>
    <w:rsid w:val="29AD647D"/>
    <w:rsid w:val="29C236BC"/>
    <w:rsid w:val="2AA31D69"/>
    <w:rsid w:val="2AF93E03"/>
    <w:rsid w:val="2B14FE10"/>
    <w:rsid w:val="2B4AA0B1"/>
    <w:rsid w:val="2B5A66DC"/>
    <w:rsid w:val="2B9E4658"/>
    <w:rsid w:val="2BC71A3C"/>
    <w:rsid w:val="2C601A86"/>
    <w:rsid w:val="2D29E68C"/>
    <w:rsid w:val="2D774A5D"/>
    <w:rsid w:val="2D950033"/>
    <w:rsid w:val="2D9AE813"/>
    <w:rsid w:val="2DABAF43"/>
    <w:rsid w:val="2DE64463"/>
    <w:rsid w:val="2E839E35"/>
    <w:rsid w:val="2F131ABE"/>
    <w:rsid w:val="2F323C67"/>
    <w:rsid w:val="2F620FC8"/>
    <w:rsid w:val="2FA4F014"/>
    <w:rsid w:val="30096584"/>
    <w:rsid w:val="302DD7FF"/>
    <w:rsid w:val="31474DF9"/>
    <w:rsid w:val="31494C18"/>
    <w:rsid w:val="318FB1BC"/>
    <w:rsid w:val="31BBDAF9"/>
    <w:rsid w:val="31E89239"/>
    <w:rsid w:val="329BA792"/>
    <w:rsid w:val="33AA46B3"/>
    <w:rsid w:val="3421FE5F"/>
    <w:rsid w:val="342A37C3"/>
    <w:rsid w:val="34E38170"/>
    <w:rsid w:val="35C60824"/>
    <w:rsid w:val="35D43DCE"/>
    <w:rsid w:val="367BE5B0"/>
    <w:rsid w:val="367F51D1"/>
    <w:rsid w:val="36879167"/>
    <w:rsid w:val="36A28DD5"/>
    <w:rsid w:val="382D9FC6"/>
    <w:rsid w:val="38BC4056"/>
    <w:rsid w:val="38FDA8E6"/>
    <w:rsid w:val="39018783"/>
    <w:rsid w:val="39110894"/>
    <w:rsid w:val="39ABCBBD"/>
    <w:rsid w:val="39F36298"/>
    <w:rsid w:val="3A796B1B"/>
    <w:rsid w:val="3A997947"/>
    <w:rsid w:val="3AA40ABD"/>
    <w:rsid w:val="3B4C182B"/>
    <w:rsid w:val="3BD55593"/>
    <w:rsid w:val="3BEEF1F3"/>
    <w:rsid w:val="3C7E2BD6"/>
    <w:rsid w:val="3C913C37"/>
    <w:rsid w:val="3CC4A44B"/>
    <w:rsid w:val="3D38009C"/>
    <w:rsid w:val="3D50D8E6"/>
    <w:rsid w:val="3DB6D9C6"/>
    <w:rsid w:val="3DD11A09"/>
    <w:rsid w:val="3E19FC37"/>
    <w:rsid w:val="3EB59600"/>
    <w:rsid w:val="3EC4DCFC"/>
    <w:rsid w:val="3F05D1A4"/>
    <w:rsid w:val="3F52C987"/>
    <w:rsid w:val="3F9CA43B"/>
    <w:rsid w:val="3FCF9DAA"/>
    <w:rsid w:val="412236A0"/>
    <w:rsid w:val="4145853B"/>
    <w:rsid w:val="41494828"/>
    <w:rsid w:val="418ABEBC"/>
    <w:rsid w:val="41BB59AF"/>
    <w:rsid w:val="420F7D4F"/>
    <w:rsid w:val="42776F9E"/>
    <w:rsid w:val="42947172"/>
    <w:rsid w:val="430B965C"/>
    <w:rsid w:val="444AED03"/>
    <w:rsid w:val="445B0652"/>
    <w:rsid w:val="450C22CE"/>
    <w:rsid w:val="453A483C"/>
    <w:rsid w:val="45471E11"/>
    <w:rsid w:val="45806152"/>
    <w:rsid w:val="4673BEA3"/>
    <w:rsid w:val="472B61B5"/>
    <w:rsid w:val="486F9DDF"/>
    <w:rsid w:val="48E46603"/>
    <w:rsid w:val="48EF728E"/>
    <w:rsid w:val="48FA8647"/>
    <w:rsid w:val="496E7636"/>
    <w:rsid w:val="49CE591A"/>
    <w:rsid w:val="49F83FE7"/>
    <w:rsid w:val="4A122119"/>
    <w:rsid w:val="4AF57A66"/>
    <w:rsid w:val="4AF87F3F"/>
    <w:rsid w:val="4B07DC4A"/>
    <w:rsid w:val="4B64419B"/>
    <w:rsid w:val="4BA73EA1"/>
    <w:rsid w:val="4BAD05A6"/>
    <w:rsid w:val="4C1B99F5"/>
    <w:rsid w:val="4C2BBCE9"/>
    <w:rsid w:val="4C535AF8"/>
    <w:rsid w:val="4CAECDCC"/>
    <w:rsid w:val="4D9B22F4"/>
    <w:rsid w:val="4E9CE365"/>
    <w:rsid w:val="4FE66E8E"/>
    <w:rsid w:val="50391E91"/>
    <w:rsid w:val="519F4C51"/>
    <w:rsid w:val="51D96AFF"/>
    <w:rsid w:val="51FFA2E7"/>
    <w:rsid w:val="524043B8"/>
    <w:rsid w:val="52F88546"/>
    <w:rsid w:val="53476C91"/>
    <w:rsid w:val="54CA0127"/>
    <w:rsid w:val="54D6ED13"/>
    <w:rsid w:val="55072F9C"/>
    <w:rsid w:val="554ED681"/>
    <w:rsid w:val="5550052E"/>
    <w:rsid w:val="570A7708"/>
    <w:rsid w:val="572F9D8E"/>
    <w:rsid w:val="57ABE933"/>
    <w:rsid w:val="57DE8787"/>
    <w:rsid w:val="589F0058"/>
    <w:rsid w:val="58A64769"/>
    <w:rsid w:val="596E0DC4"/>
    <w:rsid w:val="59A1F1D9"/>
    <w:rsid w:val="59CB5487"/>
    <w:rsid w:val="5A32588A"/>
    <w:rsid w:val="5A37C6BA"/>
    <w:rsid w:val="5A673E50"/>
    <w:rsid w:val="5AB467F8"/>
    <w:rsid w:val="5AFC0F04"/>
    <w:rsid w:val="5B45B217"/>
    <w:rsid w:val="5BD01542"/>
    <w:rsid w:val="5BDDE82B"/>
    <w:rsid w:val="5C050920"/>
    <w:rsid w:val="5CE06136"/>
    <w:rsid w:val="5D560980"/>
    <w:rsid w:val="5D79B88C"/>
    <w:rsid w:val="5D9DD406"/>
    <w:rsid w:val="5DE91362"/>
    <w:rsid w:val="5E279673"/>
    <w:rsid w:val="5E9C3DD7"/>
    <w:rsid w:val="5EF5C1B9"/>
    <w:rsid w:val="5F07B604"/>
    <w:rsid w:val="5F3CA9E2"/>
    <w:rsid w:val="5F8A5F24"/>
    <w:rsid w:val="5F8E0C90"/>
    <w:rsid w:val="5FB1D09F"/>
    <w:rsid w:val="5FCED367"/>
    <w:rsid w:val="5FD37A03"/>
    <w:rsid w:val="60B1594E"/>
    <w:rsid w:val="612E58FE"/>
    <w:rsid w:val="61D3DE99"/>
    <w:rsid w:val="61EF8EC9"/>
    <w:rsid w:val="624A3605"/>
    <w:rsid w:val="62587F23"/>
    <w:rsid w:val="62744AA4"/>
    <w:rsid w:val="62A8ECC9"/>
    <w:rsid w:val="63073E85"/>
    <w:rsid w:val="63E9F7DD"/>
    <w:rsid w:val="6414FD21"/>
    <w:rsid w:val="65108FE0"/>
    <w:rsid w:val="652A3639"/>
    <w:rsid w:val="65353CB6"/>
    <w:rsid w:val="6538EF5C"/>
    <w:rsid w:val="657F1214"/>
    <w:rsid w:val="65829DA6"/>
    <w:rsid w:val="65ABEB66"/>
    <w:rsid w:val="65D5D47B"/>
    <w:rsid w:val="65FD4E14"/>
    <w:rsid w:val="6610B480"/>
    <w:rsid w:val="66D90020"/>
    <w:rsid w:val="67637BD4"/>
    <w:rsid w:val="677C401E"/>
    <w:rsid w:val="6791A126"/>
    <w:rsid w:val="6832C39A"/>
    <w:rsid w:val="6841BE32"/>
    <w:rsid w:val="686FBA8A"/>
    <w:rsid w:val="68A48893"/>
    <w:rsid w:val="6A9BF85E"/>
    <w:rsid w:val="6AAAF945"/>
    <w:rsid w:val="6B5753FB"/>
    <w:rsid w:val="6B78150C"/>
    <w:rsid w:val="6BA75B4C"/>
    <w:rsid w:val="6CC4ECF3"/>
    <w:rsid w:val="6DB994FB"/>
    <w:rsid w:val="6E60FFA6"/>
    <w:rsid w:val="6E8EF4BD"/>
    <w:rsid w:val="6EB6EF1A"/>
    <w:rsid w:val="6ED40D85"/>
    <w:rsid w:val="6F25C754"/>
    <w:rsid w:val="6F339A3D"/>
    <w:rsid w:val="70374CF7"/>
    <w:rsid w:val="7102A4CD"/>
    <w:rsid w:val="719D4BAC"/>
    <w:rsid w:val="72714611"/>
    <w:rsid w:val="72BF3841"/>
    <w:rsid w:val="731D5B21"/>
    <w:rsid w:val="73391C0D"/>
    <w:rsid w:val="7367DD27"/>
    <w:rsid w:val="73766DE9"/>
    <w:rsid w:val="74AF6264"/>
    <w:rsid w:val="74F6821D"/>
    <w:rsid w:val="75162EC9"/>
    <w:rsid w:val="754C089E"/>
    <w:rsid w:val="754C26AA"/>
    <w:rsid w:val="75AED9EA"/>
    <w:rsid w:val="75D41C4A"/>
    <w:rsid w:val="7617EDEB"/>
    <w:rsid w:val="7630A2A1"/>
    <w:rsid w:val="76F4C743"/>
    <w:rsid w:val="77B69BE4"/>
    <w:rsid w:val="788C7564"/>
    <w:rsid w:val="7933DE7D"/>
    <w:rsid w:val="79778A5F"/>
    <w:rsid w:val="7AEE65BC"/>
    <w:rsid w:val="7B3061BA"/>
    <w:rsid w:val="7B8DE165"/>
    <w:rsid w:val="7BA221C5"/>
    <w:rsid w:val="7BBCC841"/>
    <w:rsid w:val="7BDDF6A5"/>
    <w:rsid w:val="7BDF2201"/>
    <w:rsid w:val="7D0A9DF5"/>
    <w:rsid w:val="7D35E3B3"/>
    <w:rsid w:val="7E772370"/>
    <w:rsid w:val="7ECA15AE"/>
    <w:rsid w:val="7F0AD636"/>
    <w:rsid w:val="7F749FB2"/>
    <w:rsid w:val="7F9FF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ED6F"/>
  <w15:chartTrackingRefBased/>
  <w15:docId w15:val="{019900E1-53F2-4D22-B0AE-027EF8C6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428F2"/>
  </w:style>
  <w:style w:type="character" w:customStyle="1" w:styleId="eop">
    <w:name w:val="eop"/>
    <w:basedOn w:val="DefaultParagraphFont"/>
    <w:rsid w:val="009428F2"/>
  </w:style>
  <w:style w:type="paragraph" w:styleId="ListParagraph">
    <w:name w:val="List Paragraph"/>
    <w:basedOn w:val="Normal"/>
    <w:uiPriority w:val="34"/>
    <w:qFormat/>
    <w:rsid w:val="003768BE"/>
    <w:pPr>
      <w:ind w:left="720"/>
      <w:contextualSpacing/>
    </w:pPr>
  </w:style>
  <w:style w:type="paragraph" w:customStyle="1" w:styleId="Body">
    <w:name w:val="Body"/>
    <w:rsid w:val="005560DF"/>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560DF"/>
    <w:rPr>
      <w:sz w:val="16"/>
      <w:szCs w:val="16"/>
    </w:rPr>
  </w:style>
  <w:style w:type="paragraph" w:styleId="CommentText">
    <w:name w:val="annotation text"/>
    <w:basedOn w:val="Normal"/>
    <w:link w:val="CommentTextChar"/>
    <w:uiPriority w:val="99"/>
    <w:unhideWhenUsed/>
    <w:rsid w:val="005560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5560DF"/>
    <w:rPr>
      <w:rFonts w:ascii="Times New Roman" w:eastAsia="Arial Unicode MS" w:hAnsi="Times New Roman" w:cs="Times New Roman"/>
      <w:sz w:val="20"/>
      <w:szCs w:val="20"/>
      <w:bdr w:val="nil"/>
      <w:lang w:val="en-US"/>
    </w:rPr>
  </w:style>
  <w:style w:type="character" w:styleId="Hyperlink">
    <w:name w:val="Hyperlink"/>
    <w:basedOn w:val="DefaultParagraphFont"/>
    <w:uiPriority w:val="99"/>
    <w:unhideWhenUsed/>
    <w:rsid w:val="00C236EF"/>
    <w:rPr>
      <w:color w:val="0000FF"/>
      <w:u w:val="single"/>
    </w:rPr>
  </w:style>
  <w:style w:type="character" w:styleId="UnresolvedMention">
    <w:name w:val="Unresolved Mention"/>
    <w:basedOn w:val="DefaultParagraphFont"/>
    <w:uiPriority w:val="99"/>
    <w:semiHidden/>
    <w:unhideWhenUsed/>
    <w:rsid w:val="00C236E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B649D"/>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6B649D"/>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3B19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8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44"/>
  </w:style>
  <w:style w:type="paragraph" w:styleId="Footer">
    <w:name w:val="footer"/>
    <w:basedOn w:val="Normal"/>
    <w:link w:val="FooterChar"/>
    <w:uiPriority w:val="99"/>
    <w:unhideWhenUsed/>
    <w:rsid w:val="008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44"/>
  </w:style>
  <w:style w:type="paragraph" w:customStyle="1" w:styleId="BodyA">
    <w:name w:val="Body A"/>
    <w:rsid w:val="008D3D4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styleId="PageNumber">
    <w:name w:val="page number"/>
    <w:basedOn w:val="DefaultParagraphFont"/>
    <w:uiPriority w:val="99"/>
    <w:semiHidden/>
    <w:unhideWhenUsed/>
    <w:rsid w:val="00AC48E2"/>
  </w:style>
  <w:style w:type="character" w:styleId="FollowedHyperlink">
    <w:name w:val="FollowedHyperlink"/>
    <w:basedOn w:val="DefaultParagraphFont"/>
    <w:uiPriority w:val="99"/>
    <w:semiHidden/>
    <w:unhideWhenUsed/>
    <w:rsid w:val="00D41B26"/>
    <w:rPr>
      <w:color w:val="800080" w:themeColor="followedHyperlink"/>
      <w:u w:val="single"/>
    </w:rPr>
  </w:style>
  <w:style w:type="paragraph" w:styleId="NormalWeb">
    <w:name w:val="Normal (Web)"/>
    <w:basedOn w:val="Normal"/>
    <w:uiPriority w:val="99"/>
    <w:semiHidden/>
    <w:unhideWhenUsed/>
    <w:rsid w:val="00D41B2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3305">
      <w:bodyDiv w:val="1"/>
      <w:marLeft w:val="0"/>
      <w:marRight w:val="0"/>
      <w:marTop w:val="0"/>
      <w:marBottom w:val="0"/>
      <w:divBdr>
        <w:top w:val="none" w:sz="0" w:space="0" w:color="auto"/>
        <w:left w:val="none" w:sz="0" w:space="0" w:color="auto"/>
        <w:bottom w:val="none" w:sz="0" w:space="0" w:color="auto"/>
        <w:right w:val="none" w:sz="0" w:space="0" w:color="auto"/>
      </w:divBdr>
      <w:divsChild>
        <w:div w:id="312149366">
          <w:marLeft w:val="0"/>
          <w:marRight w:val="0"/>
          <w:marTop w:val="0"/>
          <w:marBottom w:val="0"/>
          <w:divBdr>
            <w:top w:val="none" w:sz="0" w:space="0" w:color="auto"/>
            <w:left w:val="none" w:sz="0" w:space="0" w:color="auto"/>
            <w:bottom w:val="none" w:sz="0" w:space="0" w:color="auto"/>
            <w:right w:val="none" w:sz="0" w:space="0" w:color="auto"/>
          </w:divBdr>
          <w:divsChild>
            <w:div w:id="2006397262">
              <w:marLeft w:val="0"/>
              <w:marRight w:val="0"/>
              <w:marTop w:val="0"/>
              <w:marBottom w:val="0"/>
              <w:divBdr>
                <w:top w:val="none" w:sz="0" w:space="0" w:color="auto"/>
                <w:left w:val="none" w:sz="0" w:space="0" w:color="auto"/>
                <w:bottom w:val="none" w:sz="0" w:space="0" w:color="auto"/>
                <w:right w:val="none" w:sz="0" w:space="0" w:color="auto"/>
              </w:divBdr>
              <w:divsChild>
                <w:div w:id="16226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71101">
      <w:bodyDiv w:val="1"/>
      <w:marLeft w:val="0"/>
      <w:marRight w:val="0"/>
      <w:marTop w:val="0"/>
      <w:marBottom w:val="0"/>
      <w:divBdr>
        <w:top w:val="none" w:sz="0" w:space="0" w:color="auto"/>
        <w:left w:val="none" w:sz="0" w:space="0" w:color="auto"/>
        <w:bottom w:val="none" w:sz="0" w:space="0" w:color="auto"/>
        <w:right w:val="none" w:sz="0" w:space="0" w:color="auto"/>
      </w:divBdr>
    </w:div>
    <w:div w:id="1408067274">
      <w:bodyDiv w:val="1"/>
      <w:marLeft w:val="0"/>
      <w:marRight w:val="0"/>
      <w:marTop w:val="0"/>
      <w:marBottom w:val="0"/>
      <w:divBdr>
        <w:top w:val="none" w:sz="0" w:space="0" w:color="auto"/>
        <w:left w:val="none" w:sz="0" w:space="0" w:color="auto"/>
        <w:bottom w:val="none" w:sz="0" w:space="0" w:color="auto"/>
        <w:right w:val="none" w:sz="0" w:space="0" w:color="auto"/>
      </w:divBdr>
    </w:div>
    <w:div w:id="15499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Props1.xml><?xml version="1.0" encoding="utf-8"?>
<ds:datastoreItem xmlns:ds="http://schemas.openxmlformats.org/officeDocument/2006/customXml" ds:itemID="{1DDE824E-6F03-4D1B-A41F-76D1FDA5BBF4}">
  <ds:schemaRefs>
    <ds:schemaRef ds:uri="http://schemas.microsoft.com/sharepoint/v3/contenttype/forms"/>
  </ds:schemaRefs>
</ds:datastoreItem>
</file>

<file path=customXml/itemProps2.xml><?xml version="1.0" encoding="utf-8"?>
<ds:datastoreItem xmlns:ds="http://schemas.openxmlformats.org/officeDocument/2006/customXml" ds:itemID="{EBC607F2-3DDB-4640-80A2-B0FA59824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9E0E7-8026-43D7-97FF-52979AA48C81}">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docMetadata/LabelInfo.xml><?xml version="1.0" encoding="utf-8"?>
<clbl:labelList xmlns:clbl="http://schemas.microsoft.com/office/2020/mipLabelMetadata">
  <clbl:label id="{4a6109de-d3b0-4016-8edd-163493377df6}" enabled="0" method="" siteId="{4a6109de-d3b0-4016-8edd-163493377df6}" removed="1"/>
</clbl:labelList>
</file>

<file path=docProps/app.xml><?xml version="1.0" encoding="utf-8"?>
<Properties xmlns="http://schemas.openxmlformats.org/officeDocument/2006/extended-properties" xmlns:vt="http://schemas.openxmlformats.org/officeDocument/2006/docPropsVTypes">
  <Template>normal</Template>
  <TotalTime>14</TotalTime>
  <Pages>8</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SHACKLOCK, Joy (THE SPA SURGERY)</dc:creator>
  <cp:keywords/>
  <dc:description/>
  <cp:lastModifiedBy>Daniel Chukwu</cp:lastModifiedBy>
  <cp:revision>2</cp:revision>
  <dcterms:created xsi:type="dcterms:W3CDTF">2022-09-11T13:39:00Z</dcterms:created>
  <dcterms:modified xsi:type="dcterms:W3CDTF">2022-09-11T13:39:00Z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Order">
    <vt:r8>53400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