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FF7" w14:textId="103C4D76" w:rsidR="00BF6221" w:rsidRPr="00C24B57" w:rsidRDefault="00BF6221" w:rsidP="00C24B57">
      <w:pPr>
        <w:pStyle w:val="Heading3"/>
        <w:rPr>
          <w:rFonts w:asciiTheme="minorHAnsi" w:hAnsiTheme="minorHAnsi" w:cstheme="minorHAnsi"/>
          <w:sz w:val="22"/>
          <w:szCs w:val="22"/>
        </w:rPr>
      </w:pPr>
      <w:r w:rsidRPr="00BF6221">
        <w:rPr>
          <w:rFonts w:asciiTheme="minorHAnsi" w:hAnsiTheme="minorHAnsi" w:cstheme="minorHAnsi"/>
          <w:b/>
          <w:bCs/>
          <w:sz w:val="22"/>
          <w:szCs w:val="22"/>
          <w:shd w:val="clear" w:color="auto" w:fill="FFFFFF"/>
        </w:rPr>
        <w:t>Fluoroquinolone antibiotics:</w:t>
      </w:r>
      <w:r w:rsidRPr="00BF6221">
        <w:rPr>
          <w:rFonts w:asciiTheme="minorHAnsi" w:hAnsiTheme="minorHAnsi" w:cstheme="minorHAnsi"/>
          <w:sz w:val="22"/>
          <w:szCs w:val="22"/>
          <w:shd w:val="clear" w:color="auto" w:fill="FFFFFF"/>
        </w:rPr>
        <w:t> In January 2024, the MHRA published a </w:t>
      </w:r>
      <w:hyperlink r:id="rId11" w:tooltip="www.gov.uk" w:history="1">
        <w:r w:rsidRPr="00BF6221">
          <w:rPr>
            <w:rStyle w:val="Hyperlink"/>
            <w:rFonts w:asciiTheme="minorHAnsi" w:hAnsiTheme="minorHAnsi" w:cstheme="minorHAnsi"/>
            <w:color w:val="auto"/>
            <w:sz w:val="22"/>
            <w:szCs w:val="22"/>
            <w:shd w:val="clear" w:color="auto" w:fill="FFFFFF"/>
          </w:rPr>
          <w:t>Drug Safety Update on fluoroquinolone antibiotics</w:t>
        </w:r>
      </w:hyperlink>
      <w:r w:rsidRPr="00BF6221">
        <w:rPr>
          <w:rFonts w:asciiTheme="minorHAnsi" w:hAnsiTheme="minorHAnsi" w:cstheme="minorHAnsi"/>
          <w:sz w:val="22"/>
          <w:szCs w:val="22"/>
          <w:shd w:val="clear" w:color="auto" w:fill="FFFFFF"/>
        </w:rPr>
        <w:t xml:space="preserve">. These must now only be prescribed when other commonly recommended antibiotics are inappropriate. The </w:t>
      </w:r>
      <w:r w:rsidRPr="00BF6221">
        <w:rPr>
          <w:rFonts w:asciiTheme="minorHAnsi" w:hAnsiTheme="minorHAnsi" w:cstheme="minorHAnsi"/>
          <w:sz w:val="22"/>
          <w:szCs w:val="22"/>
        </w:rPr>
        <w:t xml:space="preserve">Community pharmacy counselling checklist </w:t>
      </w:r>
      <w:r w:rsidRPr="00BF6221">
        <w:rPr>
          <w:rFonts w:asciiTheme="minorHAnsi" w:hAnsiTheme="minorHAnsi" w:cstheme="minorHAnsi"/>
          <w:sz w:val="22"/>
          <w:szCs w:val="22"/>
          <w:shd w:val="clear" w:color="auto" w:fill="FFFFFF"/>
        </w:rPr>
        <w:t xml:space="preserve">is currently being reviewed to align with these updates, in the meantime please view MHRA guidance for more information. </w:t>
      </w:r>
    </w:p>
    <w:p w14:paraId="71FDC116" w14:textId="77777777" w:rsidR="00C24B57" w:rsidRPr="00C24B57" w:rsidRDefault="00C24B57">
      <w:pPr>
        <w:rPr>
          <w:b/>
          <w:bCs/>
          <w:i/>
          <w:iCs/>
          <w:sz w:val="4"/>
          <w:szCs w:val="4"/>
        </w:rPr>
      </w:pPr>
    </w:p>
    <w:p w14:paraId="54B4B160" w14:textId="36D3AF6D" w:rsidR="00FF679D" w:rsidRPr="00FF679D" w:rsidRDefault="00FF679D">
      <w:pPr>
        <w:rPr>
          <w:i/>
          <w:iCs/>
        </w:rPr>
      </w:pPr>
      <w:r w:rsidRPr="00D35146">
        <w:rPr>
          <w:b/>
          <w:bCs/>
          <w:i/>
          <w:iCs/>
        </w:rPr>
        <w:t>Foreword about using this tool:</w:t>
      </w:r>
    </w:p>
    <w:p w14:paraId="235D870D" w14:textId="7AA76FB1" w:rsidR="00C24B57" w:rsidRDefault="009A5887" w:rsidP="00C24B57">
      <w:r w:rsidRPr="009A5887">
        <w:t>This Antibiotic Counselling sheet is a supporting tool to help inform the information provided to patients, including how to take antibiotics, their common side effects, and interactions. This was a collaboration between Public Health England’s TARGET Antibiotics toolkit and Public Health Wales and is suitable to be used by healthcare professionals across England and Wales.</w:t>
      </w:r>
      <w:r>
        <w:t xml:space="preserve"> </w:t>
      </w:r>
      <w:r w:rsidR="00D7732D">
        <w:t xml:space="preserve">This sheet </w:t>
      </w:r>
      <w:r w:rsidR="00FF679D">
        <w:t xml:space="preserve">summarises information from the British National Formulary (BNF) and Electronic Medicines Compendium (EMC). These tables </w:t>
      </w:r>
      <w:r w:rsidR="00D7732D">
        <w:t xml:space="preserve">can </w:t>
      </w:r>
      <w:r w:rsidR="00FF679D">
        <w:t>be used when providing</w:t>
      </w:r>
      <w:r w:rsidR="00D7732D">
        <w:t xml:space="preserve"> antibiotic adherence advice to patients </w:t>
      </w:r>
      <w:r w:rsidR="00E33402">
        <w:t>a</w:t>
      </w:r>
      <w:r w:rsidR="00FF679D">
        <w:t xml:space="preserve">nd support shared decision making in healthcare settings, in line with </w:t>
      </w:r>
      <w:hyperlink r:id="rId12" w:history="1">
        <w:r w:rsidR="00FF679D" w:rsidRPr="00FF679D">
          <w:rPr>
            <w:rStyle w:val="Hyperlink"/>
          </w:rPr>
          <w:t>NICE Guideline [NG197]</w:t>
        </w:r>
      </w:hyperlink>
      <w:r w:rsidR="00FF679D">
        <w:t xml:space="preserve">. </w:t>
      </w:r>
    </w:p>
    <w:p w14:paraId="482E435A" w14:textId="2EE556B0" w:rsidR="00BF653D" w:rsidRDefault="00C24B57">
      <w:r>
        <w:rPr>
          <w:noProof/>
          <w:lang w:eastAsia="en-GB"/>
        </w:rPr>
        <mc:AlternateContent>
          <mc:Choice Requires="wps">
            <w:drawing>
              <wp:anchor distT="45720" distB="45720" distL="114300" distR="114300" simplePos="0" relativeHeight="251659264" behindDoc="1" locked="0" layoutInCell="1" allowOverlap="1" wp14:anchorId="662BD38F" wp14:editId="3E2C18AA">
                <wp:simplePos x="0" y="0"/>
                <wp:positionH relativeFrom="page">
                  <wp:posOffset>685800</wp:posOffset>
                </wp:positionH>
                <wp:positionV relativeFrom="paragraph">
                  <wp:posOffset>756285</wp:posOffset>
                </wp:positionV>
                <wp:extent cx="8972550" cy="866775"/>
                <wp:effectExtent l="0" t="0" r="19050" b="28575"/>
                <wp:wrapTight wrapText="bothSides">
                  <wp:wrapPolygon edited="0">
                    <wp:start x="0" y="0"/>
                    <wp:lineTo x="0" y="21837"/>
                    <wp:lineTo x="21600" y="218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866775"/>
                        </a:xfrm>
                        <a:prstGeom prst="rect">
                          <a:avLst/>
                        </a:prstGeom>
                        <a:ln w="19050">
                          <a:solidFill>
                            <a:srgbClr val="AD0016"/>
                          </a:solidFill>
                          <a:headEnd/>
                          <a:tailEnd/>
                        </a:ln>
                      </wps:spPr>
                      <wps:style>
                        <a:lnRef idx="2">
                          <a:schemeClr val="dk1"/>
                        </a:lnRef>
                        <a:fillRef idx="1">
                          <a:schemeClr val="lt1"/>
                        </a:fillRef>
                        <a:effectRef idx="0">
                          <a:schemeClr val="dk1"/>
                        </a:effectRef>
                        <a:fontRef idx="minor">
                          <a:schemeClr val="dk1"/>
                        </a:fontRef>
                      </wps:style>
                      <wps:txbx>
                        <w:txbxContent>
                          <w:p w14:paraId="57C33191" w14:textId="6772BA72" w:rsidR="004F6F26" w:rsidRPr="00026DB6" w:rsidRDefault="00C113DE" w:rsidP="00D35146">
                            <w:pPr>
                              <w:spacing w:after="0"/>
                              <w:rPr>
                                <w:b/>
                                <w:bCs/>
                              </w:rPr>
                            </w:pPr>
                            <w:r w:rsidRPr="00026DB6">
                              <w:rPr>
                                <w:b/>
                                <w:bCs/>
                              </w:rPr>
                              <w:t>General advice</w:t>
                            </w:r>
                            <w:r w:rsidR="00D35146" w:rsidRPr="00026DB6">
                              <w:rPr>
                                <w:b/>
                                <w:bCs/>
                              </w:rPr>
                              <w:t>:</w:t>
                            </w:r>
                          </w:p>
                          <w:p w14:paraId="26E6D74B" w14:textId="1029C5D7" w:rsidR="00C412C6" w:rsidRPr="005C033A" w:rsidRDefault="00C113DE" w:rsidP="00C412C6">
                            <w:pPr>
                              <w:pStyle w:val="ListParagraph"/>
                              <w:numPr>
                                <w:ilvl w:val="0"/>
                                <w:numId w:val="2"/>
                              </w:numPr>
                            </w:pPr>
                            <w:r>
                              <w:t>T</w:t>
                            </w:r>
                            <w:r w:rsidRPr="00C113DE">
                              <w:t>ake doses at regular intervals throughout the day</w:t>
                            </w:r>
                            <w:r w:rsidR="0031675D">
                              <w:t>.</w:t>
                            </w:r>
                          </w:p>
                          <w:p w14:paraId="48D0E2C5" w14:textId="14FB84FE" w:rsidR="00C113DE" w:rsidRDefault="00C113DE" w:rsidP="00C412C6">
                            <w:pPr>
                              <w:pStyle w:val="ListParagraph"/>
                              <w:numPr>
                                <w:ilvl w:val="0"/>
                                <w:numId w:val="2"/>
                              </w:numPr>
                            </w:pPr>
                            <w:r>
                              <w:t>T</w:t>
                            </w:r>
                            <w:r w:rsidRPr="00C113DE">
                              <w:t>ake antibiotics exactly as prescribed, never save them for future use, never share them with others</w:t>
                            </w:r>
                            <w:r w:rsidR="0031675D">
                              <w:t>.</w:t>
                            </w:r>
                          </w:p>
                          <w:p w14:paraId="55A3FE97" w14:textId="6A5B6409" w:rsidR="00C412C6" w:rsidRPr="005C033A" w:rsidRDefault="00CD4D5F" w:rsidP="00C412C6">
                            <w:pPr>
                              <w:pStyle w:val="ListParagraph"/>
                              <w:numPr>
                                <w:ilvl w:val="0"/>
                                <w:numId w:val="2"/>
                              </w:numPr>
                            </w:pPr>
                            <w:r>
                              <w:t xml:space="preserve">If you don’t </w:t>
                            </w:r>
                            <w:r w:rsidR="00C412C6" w:rsidRPr="005C033A">
                              <w:t xml:space="preserve">start to feel better </w:t>
                            </w:r>
                            <w:r>
                              <w:t>within a few days of</w:t>
                            </w:r>
                            <w:r w:rsidR="00C412C6" w:rsidRPr="005C033A">
                              <w:t xml:space="preserve"> starting antibiotics</w:t>
                            </w:r>
                            <w:r>
                              <w:t>, contact your pharmacist or GP for</w:t>
                            </w:r>
                            <w:r w:rsidR="0031675D">
                              <w:t xml:space="preserv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BD38F" id="_x0000_t202" coordsize="21600,21600" o:spt="202" path="m,l,21600r21600,l21600,xe">
                <v:stroke joinstyle="miter"/>
                <v:path gradientshapeok="t" o:connecttype="rect"/>
              </v:shapetype>
              <v:shape id="Text Box 2" o:spid="_x0000_s1026" type="#_x0000_t202" style="position:absolute;left:0;text-align:left;margin-left:54pt;margin-top:59.55pt;width:706.5pt;height:6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" fillcolor="white [3201]" strokecolor="#ad0016" strokeweight="1.5pt">
                <v:textbox>
                  <w:txbxContent>
                    <w:p w14:paraId="57C33191" w14:textId="6772BA72" w:rsidR="004F6F26" w:rsidRPr="00026DB6" w:rsidRDefault="00C113DE" w:rsidP="00D35146">
                      <w:pPr>
                        <w:spacing w:after="0"/>
                        <w:rPr>
                          <w:b/>
                          <w:bCs/>
                        </w:rPr>
                      </w:pPr>
                      <w:r w:rsidRPr="00026DB6">
                        <w:rPr>
                          <w:b/>
                          <w:bCs/>
                        </w:rPr>
                        <w:t>General advice</w:t>
                      </w:r>
                      <w:r w:rsidR="00D35146" w:rsidRPr="00026DB6">
                        <w:rPr>
                          <w:b/>
                          <w:bCs/>
                        </w:rPr>
                        <w:t>:</w:t>
                      </w:r>
                    </w:p>
                    <w:p w14:paraId="26E6D74B" w14:textId="1029C5D7" w:rsidR="00C412C6" w:rsidRPr="005C033A" w:rsidRDefault="00C113DE" w:rsidP="00C412C6">
                      <w:pPr>
                        <w:pStyle w:val="ListParagraph"/>
                        <w:numPr>
                          <w:ilvl w:val="0"/>
                          <w:numId w:val="2"/>
                        </w:numPr>
                      </w:pPr>
                      <w:r>
                        <w:t>T</w:t>
                      </w:r>
                      <w:r w:rsidRPr="00C113DE">
                        <w:t>ake doses at regular intervals throughout the day</w:t>
                      </w:r>
                      <w:r w:rsidR="0031675D">
                        <w:t>.</w:t>
                      </w:r>
                    </w:p>
                    <w:p w14:paraId="48D0E2C5" w14:textId="14FB84FE" w:rsidR="00C113DE" w:rsidRDefault="00C113DE" w:rsidP="00C412C6">
                      <w:pPr>
                        <w:pStyle w:val="ListParagraph"/>
                        <w:numPr>
                          <w:ilvl w:val="0"/>
                          <w:numId w:val="2"/>
                        </w:numPr>
                      </w:pPr>
                      <w:r>
                        <w:t>T</w:t>
                      </w:r>
                      <w:r w:rsidRPr="00C113DE">
                        <w:t>ake antibiotics exactly as prescribed, never save them for future use, never share them with others</w:t>
                      </w:r>
                      <w:r w:rsidR="0031675D">
                        <w:t>.</w:t>
                      </w:r>
                    </w:p>
                    <w:p w14:paraId="55A3FE97" w14:textId="6A5B6409" w:rsidR="00C412C6" w:rsidRPr="005C033A" w:rsidRDefault="00CD4D5F" w:rsidP="00C412C6">
                      <w:pPr>
                        <w:pStyle w:val="ListParagraph"/>
                        <w:numPr>
                          <w:ilvl w:val="0"/>
                          <w:numId w:val="2"/>
                        </w:numPr>
                      </w:pPr>
                      <w:r>
                        <w:t xml:space="preserve">If you don’t </w:t>
                      </w:r>
                      <w:r w:rsidR="00C412C6" w:rsidRPr="005C033A">
                        <w:t xml:space="preserve">start to feel better </w:t>
                      </w:r>
                      <w:r>
                        <w:t>within a few days of</w:t>
                      </w:r>
                      <w:r w:rsidR="00C412C6" w:rsidRPr="005C033A">
                        <w:t xml:space="preserve"> starting antibiotics</w:t>
                      </w:r>
                      <w:r>
                        <w:t>, contact your pharmacist or GP for</w:t>
                      </w:r>
                      <w:r w:rsidR="0031675D">
                        <w:t xml:space="preserve"> advice.</w:t>
                      </w:r>
                    </w:p>
                  </w:txbxContent>
                </v:textbox>
                <w10:wrap type="tight" anchorx="page"/>
              </v:shape>
            </w:pict>
          </mc:Fallback>
        </mc:AlternateContent>
      </w:r>
      <w:r>
        <w:t xml:space="preserve">This tool is designed to support healthcare professionals and may not account for individual circumstances of patients, nor is it a complete replication of the information. It should not be used as sole basis for decision making, nor replace </w:t>
      </w:r>
      <w:r w:rsidRPr="00FF679D">
        <w:t>healthcare professional consultation</w:t>
      </w:r>
      <w:r>
        <w:t xml:space="preserve">s. Please ensure you are using the most up to date version of this tool published on the TARGET website. Please consider using the TARGET patient information leaflets on common infections, and the Antibiotic Checklist for community pharmacy (available at: </w:t>
      </w:r>
      <w:hyperlink r:id="rId13" w:history="1">
        <w:r w:rsidRPr="00040C73">
          <w:rPr>
            <w:rStyle w:val="Hyperlink"/>
          </w:rPr>
          <w:t>www.RCGP.org.uk/TARGET-patient-lealets</w:t>
        </w:r>
      </w:hyperlink>
      <w:r>
        <w:t xml:space="preserve">) to support Antimicrobial Stewardship. </w:t>
      </w:r>
    </w:p>
    <w:tbl>
      <w:tblPr>
        <w:tblStyle w:val="GridTable2-Accent2"/>
        <w:tblpPr w:leftFromText="180" w:rightFromText="180" w:vertAnchor="page" w:horzAnchor="margin" w:tblpXSpec="center" w:tblpY="7375"/>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3245"/>
        <w:gridCol w:w="2594"/>
        <w:gridCol w:w="3786"/>
        <w:gridCol w:w="3279"/>
      </w:tblGrid>
      <w:tr w:rsidR="00BF653D" w14:paraId="524FB7EE" w14:textId="77777777" w:rsidTr="00C24B57">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808080"/>
              <w:left w:val="single" w:sz="4" w:space="0" w:color="808080"/>
              <w:bottom w:val="single" w:sz="4" w:space="0" w:color="808080"/>
              <w:right w:val="single" w:sz="4" w:space="0" w:color="808080"/>
            </w:tcBorders>
            <w:shd w:val="clear" w:color="auto" w:fill="F4DDC4"/>
          </w:tcPr>
          <w:p w14:paraId="72AF608D" w14:textId="77777777" w:rsidR="00BF653D" w:rsidRDefault="00BF653D" w:rsidP="00C24B57">
            <w:pPr>
              <w:jc w:val="center"/>
              <w:rPr>
                <w:b w:val="0"/>
                <w:bCs w:val="0"/>
              </w:rPr>
            </w:pPr>
          </w:p>
          <w:p w14:paraId="4D17FB5B" w14:textId="77777777" w:rsidR="00BF653D" w:rsidRDefault="00BF653D" w:rsidP="00C24B57">
            <w:pPr>
              <w:jc w:val="center"/>
            </w:pPr>
            <w:r>
              <w:t>Antibiotic</w:t>
            </w:r>
          </w:p>
        </w:tc>
        <w:tc>
          <w:tcPr>
            <w:tcW w:w="3245"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F4DDC4"/>
          </w:tcPr>
          <w:p w14:paraId="2C12AEE5" w14:textId="21A4A072" w:rsidR="00BF653D" w:rsidRDefault="00BF653D" w:rsidP="00C24B57">
            <w:pPr>
              <w:jc w:val="center"/>
              <w:cnfStyle w:val="100000000000" w:firstRow="1" w:lastRow="0" w:firstColumn="0" w:lastColumn="0" w:oddVBand="0" w:evenVBand="0" w:oddHBand="0" w:evenHBand="0" w:firstRowFirstColumn="0" w:firstRowLastColumn="0" w:lastRowFirstColumn="0" w:lastRowLastColumn="0"/>
              <w:rPr>
                <w:b w:val="0"/>
                <w:bCs w:val="0"/>
              </w:rPr>
            </w:pPr>
          </w:p>
          <w:p w14:paraId="63CC630D" w14:textId="122919C3" w:rsidR="00BF653D" w:rsidRDefault="00BF653D" w:rsidP="00C24B57">
            <w:pPr>
              <w:jc w:val="center"/>
              <w:cnfStyle w:val="100000000000" w:firstRow="1" w:lastRow="0" w:firstColumn="0" w:lastColumn="0" w:oddVBand="0" w:evenVBand="0" w:oddHBand="0" w:evenHBand="0" w:firstRowFirstColumn="0" w:firstRowLastColumn="0" w:lastRowFirstColumn="0" w:lastRowLastColumn="0"/>
            </w:pPr>
            <w:r>
              <w:t>How to take</w:t>
            </w:r>
          </w:p>
        </w:tc>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4DDC4"/>
          </w:tcPr>
          <w:p w14:paraId="3300DE16"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rPr>
                <w:b w:val="0"/>
                <w:bCs w:val="0"/>
              </w:rPr>
            </w:pPr>
          </w:p>
          <w:p w14:paraId="4354CF34"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pPr>
            <w:r>
              <w:t>Common Side Effects</w:t>
            </w:r>
          </w:p>
        </w:tc>
        <w:tc>
          <w:tcPr>
            <w:tcW w:w="378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4DDC4"/>
          </w:tcPr>
          <w:p w14:paraId="279DD63C"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rPr>
                <w:b w:val="0"/>
                <w:bCs w:val="0"/>
              </w:rPr>
            </w:pPr>
          </w:p>
          <w:p w14:paraId="6D307531"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pPr>
            <w:r>
              <w:t>Cautions/Major Interactions*</w:t>
            </w:r>
          </w:p>
        </w:tc>
        <w:tc>
          <w:tcPr>
            <w:tcW w:w="327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4DDC4"/>
          </w:tcPr>
          <w:p w14:paraId="770CB7E2"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rPr>
                <w:b w:val="0"/>
                <w:bCs w:val="0"/>
              </w:rPr>
            </w:pPr>
          </w:p>
          <w:p w14:paraId="3DF74646" w14:textId="77777777" w:rsidR="00BF653D" w:rsidRDefault="00BF653D" w:rsidP="00C24B57">
            <w:pPr>
              <w:jc w:val="center"/>
              <w:cnfStyle w:val="100000000000" w:firstRow="1" w:lastRow="0" w:firstColumn="0" w:lastColumn="0" w:oddVBand="0" w:evenVBand="0" w:oddHBand="0" w:evenHBand="0" w:firstRowFirstColumn="0" w:firstRowLastColumn="0" w:lastRowFirstColumn="0" w:lastRowLastColumn="0"/>
            </w:pPr>
            <w:r>
              <w:t>Pregnancy and Breastfeeding</w:t>
            </w:r>
          </w:p>
        </w:tc>
      </w:tr>
      <w:tr w:rsidR="00BF653D" w14:paraId="2730AA62" w14:textId="77777777" w:rsidTr="00C24B57">
        <w:trPr>
          <w:cnfStyle w:val="000000100000" w:firstRow="0" w:lastRow="0" w:firstColumn="0" w:lastColumn="0" w:oddVBand="0" w:evenVBand="0" w:oddHBand="1" w:evenHBand="0" w:firstRowFirstColumn="0" w:firstRowLastColumn="0" w:lastRowFirstColumn="0" w:lastRowLastColumn="0"/>
          <w:trHeight w:val="1509"/>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808080"/>
              <w:left w:val="single" w:sz="4" w:space="0" w:color="808080"/>
              <w:bottom w:val="single" w:sz="4" w:space="0" w:color="808080"/>
              <w:right w:val="single" w:sz="4" w:space="0" w:color="808080"/>
            </w:tcBorders>
            <w:shd w:val="clear" w:color="auto" w:fill="F4DDC4"/>
          </w:tcPr>
          <w:p w14:paraId="575010C2" w14:textId="77777777" w:rsidR="00BF653D" w:rsidRDefault="00BF653D" w:rsidP="00C24B57">
            <w:pPr>
              <w:jc w:val="center"/>
            </w:pPr>
            <w:r>
              <w:t>Amoxicillin</w:t>
            </w:r>
          </w:p>
        </w:tc>
        <w:tc>
          <w:tcPr>
            <w:tcW w:w="3245" w:type="dxa"/>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auto"/>
          </w:tcPr>
          <w:p w14:paraId="359FC083" w14:textId="77777777" w:rsidR="00BF653D" w:rsidRPr="005C033A" w:rsidRDefault="00BF653D" w:rsidP="00C24B57">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rFonts w:cstheme="minorHAnsi"/>
              </w:rPr>
            </w:pPr>
            <w:r w:rsidRPr="000207A3">
              <w:rPr>
                <w:rFonts w:cstheme="minorHAnsi"/>
              </w:rPr>
              <w:t>Take with or without food.</w:t>
            </w:r>
          </w:p>
          <w:p w14:paraId="4CA939DB" w14:textId="77777777" w:rsidR="00BF653D" w:rsidRPr="000207A3" w:rsidRDefault="00BF653D" w:rsidP="00C24B57">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rFonts w:cstheme="minorHAnsi"/>
              </w:rPr>
            </w:pPr>
            <w:r w:rsidRPr="000207A3">
              <w:rPr>
                <w:rFonts w:cstheme="minorHAnsi"/>
              </w:rPr>
              <w:t>Alcohol in moderation is unlikely to cause problems.</w:t>
            </w:r>
          </w:p>
        </w:tc>
        <w:tc>
          <w:tcPr>
            <w:tcW w:w="2594" w:type="dxa"/>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auto"/>
          </w:tcPr>
          <w:p w14:paraId="131D5F5A" w14:textId="77777777" w:rsidR="00BF653D" w:rsidRPr="00AA298E" w:rsidRDefault="00BF653D" w:rsidP="00C24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AA298E">
              <w:rPr>
                <w:rFonts w:cstheme="minorHAnsi"/>
              </w:rPr>
              <w:t>Nausea</w:t>
            </w:r>
            <w:r>
              <w:rPr>
                <w:rFonts w:cstheme="minorHAnsi"/>
              </w:rPr>
              <w:t>/</w:t>
            </w:r>
            <w:r w:rsidRPr="00AA298E">
              <w:rPr>
                <w:rFonts w:cstheme="minorHAnsi"/>
              </w:rPr>
              <w:t>vomiting</w:t>
            </w:r>
          </w:p>
          <w:p w14:paraId="68DFBC89" w14:textId="77777777" w:rsidR="00BF653D" w:rsidRPr="00AA298E" w:rsidRDefault="00BF653D" w:rsidP="00C24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AA298E">
              <w:rPr>
                <w:rFonts w:cstheme="minorHAnsi"/>
              </w:rPr>
              <w:t>Diarrhoea</w:t>
            </w:r>
          </w:p>
          <w:p w14:paraId="6A50C07D" w14:textId="77777777" w:rsidR="00BF653D" w:rsidRPr="00AA298E" w:rsidRDefault="00BF653D" w:rsidP="00C24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AA298E">
              <w:rPr>
                <w:rFonts w:cstheme="minorHAnsi"/>
              </w:rPr>
              <w:t xml:space="preserve">Skin rashes/allergy </w:t>
            </w:r>
          </w:p>
        </w:tc>
        <w:tc>
          <w:tcPr>
            <w:tcW w:w="3786" w:type="dxa"/>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auto"/>
          </w:tcPr>
          <w:p w14:paraId="36F56AC1" w14:textId="77777777" w:rsidR="00BF653D" w:rsidRPr="00AA298E" w:rsidRDefault="00BF653D" w:rsidP="00C24B57">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theme="minorHAnsi"/>
              </w:rPr>
            </w:pPr>
            <w:r w:rsidRPr="00AA298E">
              <w:rPr>
                <w:rFonts w:cstheme="minorHAnsi"/>
              </w:rPr>
              <w:t>Amoxicillin is predicted to increase the risk of toxicity when given with methotrexate.</w:t>
            </w:r>
          </w:p>
          <w:p w14:paraId="000D44CF" w14:textId="77777777" w:rsidR="00BF653D" w:rsidRPr="00AA298E" w:rsidRDefault="00BF653D" w:rsidP="00C24B57">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theme="minorHAnsi"/>
              </w:rPr>
            </w:pPr>
            <w:r w:rsidRPr="00AA298E">
              <w:rPr>
                <w:rFonts w:cstheme="minorHAnsi"/>
              </w:rPr>
              <w:t>May affect INR in patients on warfarin.</w:t>
            </w:r>
          </w:p>
        </w:tc>
        <w:tc>
          <w:tcPr>
            <w:tcW w:w="3279" w:type="dxa"/>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auto"/>
          </w:tcPr>
          <w:p w14:paraId="181572BF" w14:textId="77777777" w:rsidR="00BF653D" w:rsidRPr="00F9070E" w:rsidRDefault="00BF653D" w:rsidP="00C24B57">
            <w:pPr>
              <w:jc w:val="left"/>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Pregnancy:</w:t>
            </w:r>
          </w:p>
          <w:p w14:paraId="09DFD00D" w14:textId="77777777" w:rsidR="00BF653D" w:rsidRDefault="00BF653D" w:rsidP="00C24B57">
            <w:pPr>
              <w:jc w:val="left"/>
              <w:cnfStyle w:val="000000100000" w:firstRow="0" w:lastRow="0" w:firstColumn="0" w:lastColumn="0" w:oddVBand="0" w:evenVBand="0" w:oddHBand="1" w:evenHBand="0" w:firstRowFirstColumn="0" w:firstRowLastColumn="0" w:lastRowFirstColumn="0" w:lastRowLastColumn="0"/>
              <w:rPr>
                <w:rFonts w:cstheme="minorHAnsi"/>
              </w:rPr>
            </w:pPr>
            <w:r w:rsidRPr="00251D23">
              <w:rPr>
                <w:rFonts w:cstheme="minorHAnsi"/>
              </w:rPr>
              <w:t>Not known to be harmful</w:t>
            </w:r>
          </w:p>
          <w:p w14:paraId="6A3D2881" w14:textId="77777777" w:rsidR="00BF653D" w:rsidRDefault="00BF653D" w:rsidP="00C24B57">
            <w:pPr>
              <w:jc w:val="left"/>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Breastfeeding:</w:t>
            </w:r>
          </w:p>
          <w:p w14:paraId="4747C3D5" w14:textId="77777777" w:rsidR="00BF653D" w:rsidRPr="004443BF" w:rsidRDefault="00BF653D" w:rsidP="00C24B57">
            <w:pPr>
              <w:jc w:val="left"/>
              <w:cnfStyle w:val="000000100000" w:firstRow="0" w:lastRow="0" w:firstColumn="0" w:lastColumn="0" w:oddVBand="0" w:evenVBand="0" w:oddHBand="1" w:evenHBand="0" w:firstRowFirstColumn="0" w:firstRowLastColumn="0" w:lastRowFirstColumn="0" w:lastRowLastColumn="0"/>
              <w:rPr>
                <w:rFonts w:cstheme="minorHAnsi"/>
              </w:rPr>
            </w:pPr>
            <w:r w:rsidRPr="004443BF">
              <w:rPr>
                <w:rFonts w:cstheme="minorHAnsi"/>
              </w:rPr>
              <w:t>Trace amount in milk but appropriate to use</w:t>
            </w:r>
          </w:p>
        </w:tc>
      </w:tr>
      <w:tr w:rsidR="00BF653D" w14:paraId="7143C517" w14:textId="77777777" w:rsidTr="00C24B57">
        <w:trPr>
          <w:trHeight w:val="2459"/>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808080"/>
              <w:left w:val="single" w:sz="4" w:space="0" w:color="808080"/>
              <w:bottom w:val="single" w:sz="4" w:space="0" w:color="808080"/>
              <w:right w:val="single" w:sz="4" w:space="0" w:color="808080"/>
            </w:tcBorders>
            <w:shd w:val="clear" w:color="auto" w:fill="F4DDC4"/>
          </w:tcPr>
          <w:p w14:paraId="11052994" w14:textId="77777777" w:rsidR="00BF653D" w:rsidRDefault="00BF653D" w:rsidP="00C24B57">
            <w:pPr>
              <w:jc w:val="center"/>
            </w:pPr>
            <w:r w:rsidRPr="009E5F58">
              <w:lastRenderedPageBreak/>
              <w:t>Clarithromycin</w:t>
            </w:r>
          </w:p>
        </w:tc>
        <w:tc>
          <w:tcPr>
            <w:tcW w:w="3245" w:type="dxa"/>
            <w:tcBorders>
              <w:top w:val="single" w:sz="4" w:space="0" w:color="808080"/>
              <w:left w:val="single" w:sz="4" w:space="0" w:color="808080"/>
              <w:bottom w:val="single" w:sz="4" w:space="0" w:color="808080"/>
              <w:right w:val="single" w:sz="4" w:space="0" w:color="808080"/>
            </w:tcBorders>
            <w:shd w:val="clear" w:color="auto" w:fill="auto"/>
          </w:tcPr>
          <w:p w14:paraId="0E18BA2E" w14:textId="77777777" w:rsidR="00BF653D" w:rsidRPr="000207A3" w:rsidRDefault="00BF653D" w:rsidP="00C24B57">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rFonts w:cstheme="minorHAnsi"/>
              </w:rPr>
            </w:pPr>
            <w:r w:rsidRPr="000207A3">
              <w:rPr>
                <w:rFonts w:cstheme="minorHAnsi"/>
              </w:rPr>
              <w:t>Take with or without food.</w:t>
            </w:r>
          </w:p>
          <w:p w14:paraId="65AB3F04" w14:textId="77777777" w:rsidR="00BF653D" w:rsidRPr="000207A3" w:rsidRDefault="00BF653D" w:rsidP="00C24B57">
            <w:pPr>
              <w:pStyle w:val="ListParagraph"/>
              <w:numPr>
                <w:ilvl w:val="0"/>
                <w:numId w:val="7"/>
              </w:numPr>
              <w:jc w:val="left"/>
              <w:cnfStyle w:val="000000000000" w:firstRow="0" w:lastRow="0" w:firstColumn="0" w:lastColumn="0" w:oddVBand="0" w:evenVBand="0" w:oddHBand="0" w:evenHBand="0" w:firstRowFirstColumn="0" w:firstRowLastColumn="0" w:lastRowFirstColumn="0" w:lastRowLastColumn="0"/>
              <w:rPr>
                <w:rFonts w:cstheme="minorHAnsi"/>
              </w:rPr>
            </w:pPr>
            <w:r w:rsidRPr="000207A3">
              <w:rPr>
                <w:rFonts w:cstheme="minorHAnsi"/>
              </w:rPr>
              <w:t>Alcohol in moderation is unlikely to cause problems.</w:t>
            </w:r>
          </w:p>
        </w:tc>
        <w:tc>
          <w:tcPr>
            <w:tcW w:w="2594" w:type="dxa"/>
            <w:tcBorders>
              <w:top w:val="single" w:sz="4" w:space="0" w:color="808080"/>
              <w:left w:val="single" w:sz="4" w:space="0" w:color="808080"/>
              <w:bottom w:val="single" w:sz="4" w:space="0" w:color="808080"/>
              <w:right w:val="single" w:sz="4" w:space="0" w:color="808080"/>
            </w:tcBorders>
            <w:shd w:val="clear" w:color="auto" w:fill="auto"/>
          </w:tcPr>
          <w:p w14:paraId="759D6127" w14:textId="77777777" w:rsidR="00BF653D" w:rsidRPr="00AA298E"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Nause</w:t>
            </w:r>
            <w:r>
              <w:rPr>
                <w:rFonts w:cstheme="minorHAnsi"/>
              </w:rPr>
              <w:t>a/</w:t>
            </w:r>
            <w:r w:rsidRPr="00AA298E">
              <w:rPr>
                <w:rFonts w:cstheme="minorHAnsi"/>
              </w:rPr>
              <w:t>vomiting</w:t>
            </w:r>
          </w:p>
          <w:p w14:paraId="31A51A2B" w14:textId="77777777" w:rsidR="00BF653D"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Stomach cramps</w:t>
            </w:r>
          </w:p>
          <w:p w14:paraId="25E9A6FC" w14:textId="77777777" w:rsidR="00BF653D" w:rsidRPr="00AA298E"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Diarrhoea</w:t>
            </w:r>
          </w:p>
          <w:p w14:paraId="0FB7D057" w14:textId="77777777" w:rsidR="00BF653D" w:rsidRPr="00AA298E"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Loss of appetite</w:t>
            </w:r>
          </w:p>
          <w:p w14:paraId="19C05553" w14:textId="77777777" w:rsidR="00BF653D" w:rsidRPr="00AA298E"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Insomnia</w:t>
            </w:r>
          </w:p>
          <w:p w14:paraId="02962214" w14:textId="77777777" w:rsidR="00BF653D" w:rsidRPr="00AA298E" w:rsidRDefault="00BF653D" w:rsidP="00C24B5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 xml:space="preserve">Commonly interacts with medication </w:t>
            </w:r>
          </w:p>
        </w:tc>
        <w:tc>
          <w:tcPr>
            <w:tcW w:w="3786" w:type="dxa"/>
            <w:tcBorders>
              <w:top w:val="single" w:sz="4" w:space="0" w:color="808080"/>
              <w:left w:val="single" w:sz="4" w:space="0" w:color="808080"/>
              <w:bottom w:val="single" w:sz="4" w:space="0" w:color="808080"/>
              <w:right w:val="single" w:sz="4" w:space="0" w:color="808080"/>
            </w:tcBorders>
            <w:shd w:val="clear" w:color="auto" w:fill="auto"/>
          </w:tcPr>
          <w:p w14:paraId="54A61356" w14:textId="77777777" w:rsidR="00BF653D" w:rsidRPr="00AA298E" w:rsidRDefault="00BF653D" w:rsidP="00C24B57">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Caution in patients with a predisposition to QT prolongation/arrythmias.</w:t>
            </w:r>
          </w:p>
          <w:p w14:paraId="02409B52" w14:textId="77777777" w:rsidR="00BF653D" w:rsidRPr="00AA298E" w:rsidRDefault="00BF653D" w:rsidP="00C24B57">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Interacts with QT prolonging medication</w:t>
            </w:r>
          </w:p>
          <w:p w14:paraId="03935170" w14:textId="77777777" w:rsidR="00BF653D" w:rsidRPr="00AA298E" w:rsidRDefault="00BF653D" w:rsidP="00C24B57">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Withhold statins, can cause </w:t>
            </w:r>
            <w:r w:rsidRPr="00AA298E">
              <w:rPr>
                <w:rFonts w:cstheme="minorHAnsi"/>
              </w:rPr>
              <w:t>myalgia/rhabdomyolysis.</w:t>
            </w:r>
          </w:p>
          <w:p w14:paraId="45A7F574" w14:textId="77777777" w:rsidR="00BF653D" w:rsidRPr="00AA298E" w:rsidRDefault="00BF653D" w:rsidP="00C24B57">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rFonts w:cstheme="minorHAnsi"/>
              </w:rPr>
            </w:pPr>
            <w:r w:rsidRPr="00AA298E">
              <w:rPr>
                <w:rFonts w:cstheme="minorHAnsi"/>
              </w:rPr>
              <w:t>May affect INR in patients on warfarin.</w:t>
            </w:r>
          </w:p>
        </w:tc>
        <w:tc>
          <w:tcPr>
            <w:tcW w:w="3279" w:type="dxa"/>
            <w:tcBorders>
              <w:top w:val="single" w:sz="4" w:space="0" w:color="808080"/>
              <w:left w:val="single" w:sz="4" w:space="0" w:color="808080"/>
              <w:bottom w:val="single" w:sz="4" w:space="0" w:color="808080"/>
              <w:right w:val="single" w:sz="4" w:space="0" w:color="808080"/>
            </w:tcBorders>
            <w:shd w:val="clear" w:color="auto" w:fill="auto"/>
          </w:tcPr>
          <w:p w14:paraId="578043B6" w14:textId="77777777" w:rsidR="00BF653D" w:rsidRDefault="00BF653D" w:rsidP="00C24B57">
            <w:pPr>
              <w:jc w:val="left"/>
              <w:cnfStyle w:val="000000000000" w:firstRow="0" w:lastRow="0" w:firstColumn="0" w:lastColumn="0" w:oddVBand="0" w:evenVBand="0" w:oddHBand="0" w:evenHBand="0" w:firstRowFirstColumn="0" w:firstRowLastColumn="0" w:lastRowFirstColumn="0" w:lastRowLastColumn="0"/>
              <w:rPr>
                <w:rFonts w:cstheme="minorHAnsi"/>
              </w:rPr>
            </w:pPr>
            <w:r w:rsidRPr="00251D23">
              <w:rPr>
                <w:rFonts w:cstheme="minorHAnsi"/>
                <w:u w:val="single"/>
              </w:rPr>
              <w:t>Pregnancy:</w:t>
            </w:r>
            <w:r>
              <w:rPr>
                <w:rFonts w:cstheme="minorHAnsi"/>
              </w:rPr>
              <w:t xml:space="preserve"> </w:t>
            </w:r>
            <w:r w:rsidRPr="00251D23">
              <w:rPr>
                <w:rFonts w:cstheme="minorHAnsi"/>
              </w:rPr>
              <w:t>Manufacturer advises avoid, particularly in the first trimester, unless</w:t>
            </w:r>
            <w:r>
              <w:rPr>
                <w:rFonts w:cstheme="minorHAnsi"/>
              </w:rPr>
              <w:t xml:space="preserve"> </w:t>
            </w:r>
            <w:r w:rsidRPr="00251D23">
              <w:rPr>
                <w:rFonts w:cstheme="minorHAnsi"/>
              </w:rPr>
              <w:t>potential benefit outweighs risk.</w:t>
            </w:r>
          </w:p>
          <w:p w14:paraId="6EB29334" w14:textId="77777777" w:rsidR="00BF653D" w:rsidRPr="00251D23" w:rsidRDefault="00BF653D" w:rsidP="00C24B57">
            <w:pPr>
              <w:jc w:val="left"/>
              <w:cnfStyle w:val="000000000000" w:firstRow="0" w:lastRow="0" w:firstColumn="0" w:lastColumn="0" w:oddVBand="0" w:evenVBand="0" w:oddHBand="0" w:evenHBand="0" w:firstRowFirstColumn="0" w:firstRowLastColumn="0" w:lastRowFirstColumn="0" w:lastRowLastColumn="0"/>
              <w:rPr>
                <w:rFonts w:cstheme="minorHAnsi"/>
                <w:u w:val="single"/>
              </w:rPr>
            </w:pPr>
            <w:r w:rsidRPr="00251D23">
              <w:rPr>
                <w:rFonts w:cstheme="minorHAnsi"/>
                <w:u w:val="single"/>
              </w:rPr>
              <w:t xml:space="preserve">Breastfeeding: </w:t>
            </w:r>
          </w:p>
          <w:p w14:paraId="53C615EB" w14:textId="77777777" w:rsidR="00BF653D" w:rsidRPr="00251D23" w:rsidRDefault="00BF653D" w:rsidP="00C24B57">
            <w:pPr>
              <w:jc w:val="left"/>
              <w:cnfStyle w:val="000000000000" w:firstRow="0" w:lastRow="0" w:firstColumn="0" w:lastColumn="0" w:oddVBand="0" w:evenVBand="0" w:oddHBand="0" w:evenHBand="0" w:firstRowFirstColumn="0" w:firstRowLastColumn="0" w:lastRowFirstColumn="0" w:lastRowLastColumn="0"/>
              <w:rPr>
                <w:rFonts w:cstheme="minorHAnsi"/>
              </w:rPr>
            </w:pPr>
            <w:r w:rsidRPr="00251D23">
              <w:rPr>
                <w:rFonts w:cstheme="minorHAnsi"/>
              </w:rPr>
              <w:t>Manufacturer advises avoid unless potential benefit outweighs risk—present in milk.</w:t>
            </w:r>
          </w:p>
        </w:tc>
      </w:tr>
    </w:tbl>
    <w:p w14:paraId="05FED5AA" w14:textId="0885AB5B" w:rsidR="00BF653D" w:rsidRDefault="00BF653D" w:rsidP="00BF653D"/>
    <w:tbl>
      <w:tblPr>
        <w:tblStyle w:val="TableGrid"/>
        <w:tblW w:w="15451" w:type="dxa"/>
        <w:tblInd w:w="-714" w:type="dxa"/>
        <w:tblLook w:val="04A0" w:firstRow="1" w:lastRow="0" w:firstColumn="1" w:lastColumn="0" w:noHBand="0" w:noVBand="1"/>
      </w:tblPr>
      <w:tblGrid>
        <w:gridCol w:w="2552"/>
        <w:gridCol w:w="3260"/>
        <w:gridCol w:w="2694"/>
        <w:gridCol w:w="3685"/>
        <w:gridCol w:w="3260"/>
      </w:tblGrid>
      <w:tr w:rsidR="00BF653D" w14:paraId="527DE9EA" w14:textId="77777777" w:rsidTr="00BF653D">
        <w:trPr>
          <w:trHeight w:val="550"/>
        </w:trPr>
        <w:tc>
          <w:tcPr>
            <w:tcW w:w="2552" w:type="dxa"/>
            <w:shd w:val="clear" w:color="auto" w:fill="F4DDC4"/>
          </w:tcPr>
          <w:p w14:paraId="21870336" w14:textId="77777777" w:rsidR="00BF653D" w:rsidRPr="00BA70EA" w:rsidRDefault="00BF653D" w:rsidP="00BF653D">
            <w:pPr>
              <w:jc w:val="center"/>
              <w:rPr>
                <w:b/>
                <w:bCs/>
              </w:rPr>
            </w:pPr>
          </w:p>
          <w:p w14:paraId="3CB866D5" w14:textId="5392F280" w:rsidR="00BF653D" w:rsidRDefault="00BF653D" w:rsidP="00BF653D">
            <w:pPr>
              <w:jc w:val="center"/>
              <w:rPr>
                <w:b/>
                <w:bCs/>
                <w:i/>
                <w:iCs/>
                <w:u w:val="single"/>
              </w:rPr>
            </w:pPr>
            <w:r w:rsidRPr="00BA70EA">
              <w:rPr>
                <w:b/>
                <w:bCs/>
              </w:rPr>
              <w:t>Antibiotic</w:t>
            </w:r>
          </w:p>
        </w:tc>
        <w:tc>
          <w:tcPr>
            <w:tcW w:w="3260" w:type="dxa"/>
            <w:shd w:val="clear" w:color="auto" w:fill="F4DDC4"/>
          </w:tcPr>
          <w:p w14:paraId="476E0811" w14:textId="77777777" w:rsidR="00BF653D" w:rsidRPr="00BA70EA" w:rsidRDefault="00BF653D" w:rsidP="00BF653D">
            <w:pPr>
              <w:jc w:val="center"/>
              <w:rPr>
                <w:b/>
                <w:bCs/>
              </w:rPr>
            </w:pPr>
          </w:p>
          <w:p w14:paraId="094DCB21" w14:textId="63385FC5" w:rsidR="00BF653D" w:rsidRDefault="00BF653D" w:rsidP="00BF653D">
            <w:pPr>
              <w:jc w:val="center"/>
              <w:rPr>
                <w:b/>
                <w:bCs/>
                <w:i/>
                <w:iCs/>
                <w:u w:val="single"/>
              </w:rPr>
            </w:pPr>
            <w:r w:rsidRPr="00BA70EA">
              <w:rPr>
                <w:b/>
                <w:bCs/>
              </w:rPr>
              <w:t>How to take</w:t>
            </w:r>
          </w:p>
        </w:tc>
        <w:tc>
          <w:tcPr>
            <w:tcW w:w="2694" w:type="dxa"/>
            <w:shd w:val="clear" w:color="auto" w:fill="F4DDC4"/>
          </w:tcPr>
          <w:p w14:paraId="04BF027B" w14:textId="77777777" w:rsidR="00BF653D" w:rsidRPr="00BA70EA" w:rsidRDefault="00BF653D" w:rsidP="00BF653D">
            <w:pPr>
              <w:jc w:val="center"/>
              <w:rPr>
                <w:b/>
                <w:bCs/>
              </w:rPr>
            </w:pPr>
          </w:p>
          <w:p w14:paraId="08766AFD" w14:textId="2ECECA1A" w:rsidR="00BF653D" w:rsidRDefault="00BF653D" w:rsidP="00BF653D">
            <w:pPr>
              <w:jc w:val="center"/>
              <w:rPr>
                <w:b/>
                <w:bCs/>
                <w:i/>
                <w:iCs/>
                <w:u w:val="single"/>
              </w:rPr>
            </w:pPr>
            <w:r w:rsidRPr="00BA70EA">
              <w:rPr>
                <w:b/>
                <w:bCs/>
              </w:rPr>
              <w:t>Common Side Effects</w:t>
            </w:r>
          </w:p>
        </w:tc>
        <w:tc>
          <w:tcPr>
            <w:tcW w:w="3685" w:type="dxa"/>
            <w:shd w:val="clear" w:color="auto" w:fill="F4DDC4"/>
          </w:tcPr>
          <w:p w14:paraId="4E2C21BC" w14:textId="77777777" w:rsidR="00BF653D" w:rsidRPr="00BA70EA" w:rsidRDefault="00BF653D" w:rsidP="00BF653D">
            <w:pPr>
              <w:jc w:val="center"/>
              <w:rPr>
                <w:b/>
                <w:bCs/>
              </w:rPr>
            </w:pPr>
          </w:p>
          <w:p w14:paraId="41F30FA7" w14:textId="0E16FE6B" w:rsidR="00BF653D" w:rsidRDefault="00BF653D" w:rsidP="00BF653D">
            <w:pPr>
              <w:jc w:val="center"/>
              <w:rPr>
                <w:b/>
                <w:bCs/>
                <w:i/>
                <w:iCs/>
                <w:u w:val="single"/>
              </w:rPr>
            </w:pPr>
            <w:r w:rsidRPr="00BA70EA">
              <w:rPr>
                <w:b/>
                <w:bCs/>
              </w:rPr>
              <w:t>Cautions/Major Interactions*</w:t>
            </w:r>
          </w:p>
        </w:tc>
        <w:tc>
          <w:tcPr>
            <w:tcW w:w="3260" w:type="dxa"/>
            <w:shd w:val="clear" w:color="auto" w:fill="F4DDC4"/>
          </w:tcPr>
          <w:p w14:paraId="232B0F89" w14:textId="77777777" w:rsidR="00BF653D" w:rsidRPr="00BA70EA" w:rsidRDefault="00BF653D" w:rsidP="00BF653D">
            <w:pPr>
              <w:jc w:val="center"/>
              <w:rPr>
                <w:b/>
                <w:bCs/>
              </w:rPr>
            </w:pPr>
          </w:p>
          <w:p w14:paraId="24AC45CC" w14:textId="45FFCB3E" w:rsidR="00BF653D" w:rsidRDefault="00BF653D" w:rsidP="00BF653D">
            <w:pPr>
              <w:jc w:val="center"/>
              <w:rPr>
                <w:b/>
                <w:bCs/>
                <w:i/>
                <w:iCs/>
                <w:u w:val="single"/>
              </w:rPr>
            </w:pPr>
            <w:r w:rsidRPr="00BA70EA">
              <w:rPr>
                <w:b/>
                <w:bCs/>
              </w:rPr>
              <w:t>Pregnancy and Breastfeeding</w:t>
            </w:r>
          </w:p>
        </w:tc>
      </w:tr>
      <w:tr w:rsidR="00BF653D" w14:paraId="3EE841EA" w14:textId="77777777" w:rsidTr="00BF653D">
        <w:tc>
          <w:tcPr>
            <w:tcW w:w="2552" w:type="dxa"/>
            <w:shd w:val="clear" w:color="auto" w:fill="F4DDC4"/>
          </w:tcPr>
          <w:p w14:paraId="5E7165F4" w14:textId="0124E683" w:rsidR="00BF653D" w:rsidRDefault="00BF653D" w:rsidP="00BF653D">
            <w:pPr>
              <w:jc w:val="center"/>
              <w:rPr>
                <w:b/>
                <w:bCs/>
                <w:i/>
                <w:iCs/>
                <w:u w:val="single"/>
              </w:rPr>
            </w:pPr>
            <w:r w:rsidRPr="00BF653D">
              <w:rPr>
                <w:b/>
                <w:bCs/>
              </w:rPr>
              <w:t>Co-amoxiclav</w:t>
            </w:r>
          </w:p>
        </w:tc>
        <w:tc>
          <w:tcPr>
            <w:tcW w:w="3260" w:type="dxa"/>
          </w:tcPr>
          <w:p w14:paraId="4E1B1E1E" w14:textId="77777777" w:rsidR="00BF653D" w:rsidRDefault="00BF653D" w:rsidP="00BF653D">
            <w:pPr>
              <w:pStyle w:val="ListParagraph"/>
              <w:numPr>
                <w:ilvl w:val="0"/>
                <w:numId w:val="6"/>
              </w:numPr>
              <w:jc w:val="left"/>
              <w:rPr>
                <w:rFonts w:cstheme="minorHAnsi"/>
              </w:rPr>
            </w:pPr>
            <w:r w:rsidRPr="000207A3">
              <w:rPr>
                <w:rFonts w:cstheme="minorHAnsi"/>
              </w:rPr>
              <w:t xml:space="preserve">Take with food. </w:t>
            </w:r>
          </w:p>
          <w:p w14:paraId="3F61182F" w14:textId="32039295" w:rsidR="00BF653D" w:rsidRPr="00BF653D" w:rsidRDefault="00BF653D" w:rsidP="00BF653D">
            <w:pPr>
              <w:pStyle w:val="ListParagraph"/>
              <w:numPr>
                <w:ilvl w:val="0"/>
                <w:numId w:val="6"/>
              </w:numPr>
              <w:jc w:val="left"/>
              <w:rPr>
                <w:rFonts w:cstheme="minorHAnsi"/>
              </w:rPr>
            </w:pPr>
            <w:r w:rsidRPr="00BF653D">
              <w:rPr>
                <w:rFonts w:cstheme="minorHAnsi"/>
              </w:rPr>
              <w:t>No specific warning relating to alcohol while taking co-amoxiclav.</w:t>
            </w:r>
          </w:p>
        </w:tc>
        <w:tc>
          <w:tcPr>
            <w:tcW w:w="2694" w:type="dxa"/>
          </w:tcPr>
          <w:p w14:paraId="79B2888B" w14:textId="77777777" w:rsidR="00BF653D" w:rsidRPr="00AA298E" w:rsidRDefault="00BF653D" w:rsidP="00BF653D">
            <w:pPr>
              <w:pStyle w:val="ListParagraph"/>
              <w:numPr>
                <w:ilvl w:val="0"/>
                <w:numId w:val="3"/>
              </w:numPr>
              <w:rPr>
                <w:rFonts w:cstheme="minorHAnsi"/>
              </w:rPr>
            </w:pPr>
            <w:r w:rsidRPr="00AA298E">
              <w:rPr>
                <w:rFonts w:cstheme="minorHAnsi"/>
              </w:rPr>
              <w:t>Diarrhoea</w:t>
            </w:r>
          </w:p>
          <w:p w14:paraId="512D3A14" w14:textId="77777777" w:rsidR="00BF653D" w:rsidRPr="00AA298E" w:rsidRDefault="00BF653D" w:rsidP="00BF653D">
            <w:pPr>
              <w:pStyle w:val="ListParagraph"/>
              <w:numPr>
                <w:ilvl w:val="0"/>
                <w:numId w:val="3"/>
              </w:numPr>
              <w:rPr>
                <w:rFonts w:cstheme="minorHAnsi"/>
              </w:rPr>
            </w:pPr>
            <w:r w:rsidRPr="00AA298E">
              <w:rPr>
                <w:rFonts w:cstheme="minorHAnsi"/>
              </w:rPr>
              <w:t>Oral/genital thrush</w:t>
            </w:r>
          </w:p>
          <w:p w14:paraId="25D58ECE" w14:textId="77777777" w:rsidR="00BF653D" w:rsidRDefault="00BF653D" w:rsidP="00BF653D">
            <w:pPr>
              <w:pStyle w:val="ListParagraph"/>
              <w:numPr>
                <w:ilvl w:val="0"/>
                <w:numId w:val="3"/>
              </w:numPr>
              <w:rPr>
                <w:rFonts w:cstheme="minorHAnsi"/>
              </w:rPr>
            </w:pPr>
            <w:r w:rsidRPr="00AA298E">
              <w:rPr>
                <w:rFonts w:cstheme="minorHAnsi"/>
              </w:rPr>
              <w:t>Nausea</w:t>
            </w:r>
            <w:r>
              <w:rPr>
                <w:rFonts w:cstheme="minorHAnsi"/>
              </w:rPr>
              <w:t>/</w:t>
            </w:r>
            <w:r w:rsidRPr="00AA298E">
              <w:rPr>
                <w:rFonts w:cstheme="minorHAnsi"/>
              </w:rPr>
              <w:t xml:space="preserve">vomiting </w:t>
            </w:r>
          </w:p>
          <w:p w14:paraId="0AE9950D" w14:textId="1B339B32" w:rsidR="00BF653D" w:rsidRPr="00BF653D" w:rsidRDefault="00BF653D" w:rsidP="00BF653D">
            <w:pPr>
              <w:pStyle w:val="ListParagraph"/>
              <w:numPr>
                <w:ilvl w:val="0"/>
                <w:numId w:val="3"/>
              </w:numPr>
              <w:rPr>
                <w:rFonts w:cstheme="minorHAnsi"/>
              </w:rPr>
            </w:pPr>
            <w:r w:rsidRPr="00BF653D">
              <w:rPr>
                <w:rFonts w:cstheme="minorHAnsi"/>
              </w:rPr>
              <w:t>Skin rashes/allergy</w:t>
            </w:r>
          </w:p>
        </w:tc>
        <w:tc>
          <w:tcPr>
            <w:tcW w:w="3685" w:type="dxa"/>
          </w:tcPr>
          <w:p w14:paraId="6F74B35A" w14:textId="77777777" w:rsidR="00BF653D" w:rsidRDefault="00BF653D" w:rsidP="00BF653D">
            <w:pPr>
              <w:pStyle w:val="ListParagraph"/>
              <w:numPr>
                <w:ilvl w:val="0"/>
                <w:numId w:val="4"/>
              </w:numPr>
              <w:jc w:val="left"/>
              <w:rPr>
                <w:rFonts w:cstheme="minorHAnsi"/>
              </w:rPr>
            </w:pPr>
            <w:r w:rsidRPr="00AA298E">
              <w:rPr>
                <w:rFonts w:cstheme="minorHAnsi"/>
              </w:rPr>
              <w:t>Amoxicillin component is predicted to increase the risk of toxicity when given with methotrexate.</w:t>
            </w:r>
          </w:p>
          <w:p w14:paraId="3E07BC42" w14:textId="57B90153" w:rsidR="00BF653D" w:rsidRPr="00BF653D" w:rsidRDefault="00BF653D" w:rsidP="00BF653D">
            <w:pPr>
              <w:pStyle w:val="ListParagraph"/>
              <w:numPr>
                <w:ilvl w:val="0"/>
                <w:numId w:val="4"/>
              </w:numPr>
              <w:jc w:val="left"/>
              <w:rPr>
                <w:rFonts w:cstheme="minorHAnsi"/>
              </w:rPr>
            </w:pPr>
            <w:r w:rsidRPr="00BF653D">
              <w:rPr>
                <w:rFonts w:cstheme="minorHAnsi"/>
              </w:rPr>
              <w:t>May affect INR in patients on warfarin.</w:t>
            </w:r>
          </w:p>
        </w:tc>
        <w:tc>
          <w:tcPr>
            <w:tcW w:w="3260" w:type="dxa"/>
          </w:tcPr>
          <w:p w14:paraId="050292A6" w14:textId="77777777" w:rsidR="00BF653D" w:rsidRPr="00DE2ACF" w:rsidRDefault="00BF653D" w:rsidP="00BF653D">
            <w:pPr>
              <w:jc w:val="left"/>
              <w:rPr>
                <w:rFonts w:cstheme="minorHAnsi"/>
                <w:u w:val="single"/>
              </w:rPr>
            </w:pPr>
            <w:r w:rsidRPr="00DE2ACF">
              <w:rPr>
                <w:rFonts w:cstheme="minorHAnsi"/>
                <w:u w:val="single"/>
              </w:rPr>
              <w:t xml:space="preserve">Pregnancy: </w:t>
            </w:r>
          </w:p>
          <w:p w14:paraId="4EC09F81" w14:textId="77777777" w:rsidR="00BF653D" w:rsidRDefault="00BF653D" w:rsidP="00BF653D">
            <w:pPr>
              <w:jc w:val="left"/>
              <w:rPr>
                <w:rFonts w:cstheme="minorHAnsi"/>
              </w:rPr>
            </w:pPr>
            <w:r>
              <w:rPr>
                <w:rFonts w:cstheme="minorHAnsi"/>
              </w:rPr>
              <w:t>Not known to be harmful</w:t>
            </w:r>
          </w:p>
          <w:p w14:paraId="4EB3F05A" w14:textId="77777777" w:rsidR="00BF653D" w:rsidRPr="00DE2ACF" w:rsidRDefault="00BF653D" w:rsidP="00BF653D">
            <w:pPr>
              <w:jc w:val="left"/>
              <w:rPr>
                <w:rFonts w:cstheme="minorHAnsi"/>
                <w:u w:val="single"/>
              </w:rPr>
            </w:pPr>
            <w:r w:rsidRPr="00DE2ACF">
              <w:rPr>
                <w:rFonts w:cstheme="minorHAnsi"/>
                <w:u w:val="single"/>
              </w:rPr>
              <w:t>Breastfeeding:</w:t>
            </w:r>
          </w:p>
          <w:p w14:paraId="68189A63" w14:textId="77777777" w:rsidR="00BF653D" w:rsidRDefault="00BF653D" w:rsidP="00BF653D">
            <w:pPr>
              <w:jc w:val="left"/>
              <w:rPr>
                <w:rFonts w:cstheme="minorHAnsi"/>
              </w:rPr>
            </w:pPr>
            <w:r>
              <w:rPr>
                <w:rFonts w:cstheme="minorHAnsi"/>
              </w:rPr>
              <w:t xml:space="preserve">Trace amounts in milk but safe to use </w:t>
            </w:r>
          </w:p>
          <w:p w14:paraId="49CE1415" w14:textId="77777777" w:rsidR="00BF653D" w:rsidRDefault="00BF653D" w:rsidP="00BF653D">
            <w:pPr>
              <w:rPr>
                <w:b/>
                <w:bCs/>
                <w:i/>
                <w:iCs/>
                <w:u w:val="single"/>
              </w:rPr>
            </w:pPr>
          </w:p>
        </w:tc>
      </w:tr>
      <w:tr w:rsidR="00BF653D" w14:paraId="2310184C" w14:textId="77777777" w:rsidTr="00BF653D">
        <w:tc>
          <w:tcPr>
            <w:tcW w:w="2552" w:type="dxa"/>
            <w:shd w:val="clear" w:color="auto" w:fill="F4DDC4"/>
          </w:tcPr>
          <w:p w14:paraId="517739FE" w14:textId="12E7C52C" w:rsidR="00BF653D" w:rsidRDefault="00BF653D" w:rsidP="00BF653D">
            <w:pPr>
              <w:jc w:val="center"/>
              <w:rPr>
                <w:b/>
                <w:bCs/>
                <w:i/>
                <w:iCs/>
                <w:u w:val="single"/>
              </w:rPr>
            </w:pPr>
            <w:r w:rsidRPr="00BA70EA">
              <w:rPr>
                <w:b/>
                <w:bCs/>
              </w:rPr>
              <w:t>Doxycycline</w:t>
            </w:r>
          </w:p>
        </w:tc>
        <w:tc>
          <w:tcPr>
            <w:tcW w:w="3260" w:type="dxa"/>
          </w:tcPr>
          <w:p w14:paraId="6083F077" w14:textId="77777777" w:rsidR="00BF653D" w:rsidRDefault="00BF653D" w:rsidP="00BF653D">
            <w:pPr>
              <w:pStyle w:val="ListParagraph"/>
              <w:numPr>
                <w:ilvl w:val="0"/>
                <w:numId w:val="5"/>
              </w:numPr>
              <w:jc w:val="left"/>
              <w:rPr>
                <w:rFonts w:cstheme="minorHAnsi"/>
              </w:rPr>
            </w:pPr>
            <w:r w:rsidRPr="004443BF">
              <w:rPr>
                <w:rFonts w:cstheme="minorHAnsi"/>
              </w:rPr>
              <w:t>Swallow whole with a full glass of water.</w:t>
            </w:r>
          </w:p>
          <w:p w14:paraId="40ACEA02" w14:textId="77777777" w:rsidR="00BF653D" w:rsidRPr="00BA70EA" w:rsidRDefault="00BF653D" w:rsidP="00BF653D">
            <w:pPr>
              <w:pStyle w:val="ListParagraph"/>
              <w:numPr>
                <w:ilvl w:val="0"/>
                <w:numId w:val="5"/>
              </w:numPr>
              <w:jc w:val="left"/>
              <w:rPr>
                <w:rFonts w:cstheme="minorHAnsi"/>
              </w:rPr>
            </w:pPr>
            <w:r w:rsidRPr="004443BF">
              <w:rPr>
                <w:rFonts w:cstheme="minorHAnsi"/>
              </w:rPr>
              <w:t>Take while in an upright position and well before bed to avoid</w:t>
            </w:r>
            <w:r>
              <w:rPr>
                <w:rFonts w:cstheme="minorHAnsi"/>
              </w:rPr>
              <w:t xml:space="preserve"> </w:t>
            </w:r>
            <w:r w:rsidRPr="00BA70EA">
              <w:rPr>
                <w:rFonts w:cstheme="minorHAnsi"/>
              </w:rPr>
              <w:t>oesophageal irritation and ulceration.</w:t>
            </w:r>
          </w:p>
          <w:p w14:paraId="293DA3C3" w14:textId="77777777" w:rsidR="00BF653D" w:rsidRDefault="00BF653D" w:rsidP="00BF653D">
            <w:pPr>
              <w:pStyle w:val="ListParagraph"/>
              <w:numPr>
                <w:ilvl w:val="0"/>
                <w:numId w:val="5"/>
              </w:numPr>
              <w:jc w:val="left"/>
              <w:rPr>
                <w:rFonts w:cstheme="minorHAnsi"/>
              </w:rPr>
            </w:pPr>
            <w:r w:rsidRPr="00BA70EA">
              <w:rPr>
                <w:rFonts w:cstheme="minorHAnsi"/>
              </w:rPr>
              <w:t>Take with food if you get stomach irritation or feel nauseous.</w:t>
            </w:r>
          </w:p>
          <w:p w14:paraId="65F8A076" w14:textId="5B2EB0B3" w:rsidR="00BF653D" w:rsidRPr="00BF653D" w:rsidRDefault="00BF653D" w:rsidP="00BF653D">
            <w:pPr>
              <w:pStyle w:val="ListParagraph"/>
              <w:numPr>
                <w:ilvl w:val="0"/>
                <w:numId w:val="5"/>
              </w:numPr>
              <w:jc w:val="left"/>
              <w:rPr>
                <w:rFonts w:cstheme="minorHAnsi"/>
              </w:rPr>
            </w:pPr>
            <w:r w:rsidRPr="00BF653D">
              <w:rPr>
                <w:rFonts w:cstheme="minorHAnsi"/>
              </w:rPr>
              <w:t>Do not drink alcohol while taking doxycycline.</w:t>
            </w:r>
          </w:p>
        </w:tc>
        <w:tc>
          <w:tcPr>
            <w:tcW w:w="2694" w:type="dxa"/>
          </w:tcPr>
          <w:p w14:paraId="3D2F648E" w14:textId="77777777" w:rsidR="00BF653D" w:rsidRPr="00AA298E" w:rsidRDefault="00BF653D" w:rsidP="00BF653D">
            <w:pPr>
              <w:pStyle w:val="ListParagraph"/>
              <w:numPr>
                <w:ilvl w:val="0"/>
                <w:numId w:val="3"/>
              </w:numPr>
              <w:jc w:val="left"/>
              <w:rPr>
                <w:rFonts w:cstheme="minorHAnsi"/>
              </w:rPr>
            </w:pPr>
            <w:r w:rsidRPr="00AA298E">
              <w:rPr>
                <w:rFonts w:cstheme="minorHAnsi"/>
              </w:rPr>
              <w:t>Skin can be more sensitive to strong sunlight or UV light</w:t>
            </w:r>
            <w:r>
              <w:rPr>
                <w:rFonts w:cstheme="minorHAnsi"/>
              </w:rPr>
              <w:t xml:space="preserve"> – protect skin and avoid exposure to sunlight or sun lamps</w:t>
            </w:r>
            <w:r w:rsidRPr="00AA298E">
              <w:rPr>
                <w:rFonts w:cstheme="minorHAnsi"/>
              </w:rPr>
              <w:t>.</w:t>
            </w:r>
          </w:p>
          <w:p w14:paraId="5E317E6A" w14:textId="77777777" w:rsidR="00BF653D" w:rsidRPr="00AA298E" w:rsidRDefault="00BF653D" w:rsidP="00BF653D">
            <w:pPr>
              <w:pStyle w:val="ListParagraph"/>
              <w:numPr>
                <w:ilvl w:val="0"/>
                <w:numId w:val="3"/>
              </w:numPr>
              <w:jc w:val="left"/>
              <w:rPr>
                <w:rFonts w:cstheme="minorHAnsi"/>
              </w:rPr>
            </w:pPr>
            <w:r w:rsidRPr="00AA298E">
              <w:rPr>
                <w:rFonts w:cstheme="minorHAnsi"/>
              </w:rPr>
              <w:t>Headaches</w:t>
            </w:r>
          </w:p>
          <w:p w14:paraId="2BCB98C0" w14:textId="77777777" w:rsidR="00BF653D" w:rsidRDefault="00BF653D" w:rsidP="00BF653D">
            <w:pPr>
              <w:pStyle w:val="ListParagraph"/>
              <w:numPr>
                <w:ilvl w:val="0"/>
                <w:numId w:val="3"/>
              </w:numPr>
              <w:jc w:val="left"/>
              <w:rPr>
                <w:rFonts w:cstheme="minorHAnsi"/>
              </w:rPr>
            </w:pPr>
            <w:r w:rsidRPr="00AA298E">
              <w:rPr>
                <w:rFonts w:cstheme="minorHAnsi"/>
              </w:rPr>
              <w:t xml:space="preserve">Nausea and vomiting </w:t>
            </w:r>
          </w:p>
          <w:p w14:paraId="06B65172" w14:textId="77777777" w:rsidR="00BF653D" w:rsidRDefault="00BF653D" w:rsidP="00BF653D">
            <w:pPr>
              <w:pStyle w:val="ListParagraph"/>
              <w:numPr>
                <w:ilvl w:val="0"/>
                <w:numId w:val="3"/>
              </w:numPr>
              <w:jc w:val="left"/>
              <w:rPr>
                <w:rFonts w:cstheme="minorHAnsi"/>
              </w:rPr>
            </w:pPr>
            <w:r>
              <w:rPr>
                <w:rFonts w:cstheme="minorHAnsi"/>
              </w:rPr>
              <w:t>Diarrhoea</w:t>
            </w:r>
          </w:p>
          <w:p w14:paraId="0E30C1E3" w14:textId="3608B28B" w:rsidR="00BF653D" w:rsidRPr="00BF653D" w:rsidRDefault="00BF653D" w:rsidP="00BF653D">
            <w:pPr>
              <w:pStyle w:val="ListParagraph"/>
              <w:numPr>
                <w:ilvl w:val="0"/>
                <w:numId w:val="3"/>
              </w:numPr>
              <w:jc w:val="left"/>
              <w:rPr>
                <w:rFonts w:cstheme="minorHAnsi"/>
              </w:rPr>
            </w:pPr>
            <w:r w:rsidRPr="00BF653D">
              <w:rPr>
                <w:rFonts w:cstheme="minorHAnsi"/>
              </w:rPr>
              <w:t>Oesophageal irritation and ulceration</w:t>
            </w:r>
          </w:p>
        </w:tc>
        <w:tc>
          <w:tcPr>
            <w:tcW w:w="3685" w:type="dxa"/>
          </w:tcPr>
          <w:p w14:paraId="2478FBF8" w14:textId="77777777" w:rsidR="00BF653D" w:rsidRPr="00AA298E" w:rsidRDefault="00BF653D" w:rsidP="00BF653D">
            <w:pPr>
              <w:pStyle w:val="ListParagraph"/>
              <w:numPr>
                <w:ilvl w:val="0"/>
                <w:numId w:val="4"/>
              </w:numPr>
              <w:jc w:val="left"/>
              <w:rPr>
                <w:rFonts w:cstheme="minorHAnsi"/>
              </w:rPr>
            </w:pPr>
            <w:r w:rsidRPr="00AA298E">
              <w:rPr>
                <w:rFonts w:cstheme="minorHAnsi"/>
              </w:rPr>
              <w:t>Should not be given to children &lt;12 years</w:t>
            </w:r>
            <w:r>
              <w:rPr>
                <w:rFonts w:cstheme="minorHAnsi"/>
              </w:rPr>
              <w:t>.</w:t>
            </w:r>
            <w:r w:rsidRPr="00AA298E">
              <w:rPr>
                <w:rFonts w:cstheme="minorHAnsi"/>
              </w:rPr>
              <w:t xml:space="preserve"> </w:t>
            </w:r>
          </w:p>
          <w:p w14:paraId="506713B0" w14:textId="77777777" w:rsidR="00BF653D" w:rsidRPr="00AA298E" w:rsidRDefault="00BF653D" w:rsidP="00BF653D">
            <w:pPr>
              <w:pStyle w:val="ListParagraph"/>
              <w:numPr>
                <w:ilvl w:val="0"/>
                <w:numId w:val="4"/>
              </w:numPr>
              <w:jc w:val="left"/>
              <w:rPr>
                <w:rFonts w:cstheme="minorHAnsi"/>
              </w:rPr>
            </w:pPr>
            <w:r w:rsidRPr="00AA298E">
              <w:rPr>
                <w:rFonts w:cstheme="minorHAnsi"/>
              </w:rPr>
              <w:t>Oral antacids decrease absorption of doxycycline</w:t>
            </w:r>
            <w:r>
              <w:rPr>
                <w:rFonts w:cstheme="minorHAnsi"/>
              </w:rPr>
              <w:t xml:space="preserve">; </w:t>
            </w:r>
            <w:r w:rsidRPr="00AA298E">
              <w:rPr>
                <w:rFonts w:cstheme="minorHAnsi"/>
              </w:rPr>
              <w:t>leave 2-3h between administration.</w:t>
            </w:r>
          </w:p>
          <w:p w14:paraId="21E3E56D" w14:textId="77777777" w:rsidR="00D35146" w:rsidRDefault="00BF653D" w:rsidP="00BF653D">
            <w:pPr>
              <w:pStyle w:val="ListParagraph"/>
              <w:numPr>
                <w:ilvl w:val="0"/>
                <w:numId w:val="4"/>
              </w:numPr>
              <w:jc w:val="left"/>
              <w:rPr>
                <w:rFonts w:cstheme="minorHAnsi"/>
              </w:rPr>
            </w:pPr>
            <w:r w:rsidRPr="00AA298E">
              <w:rPr>
                <w:rFonts w:cstheme="minorHAnsi"/>
              </w:rPr>
              <w:t>May affect INR in patients on warfarin</w:t>
            </w:r>
          </w:p>
          <w:p w14:paraId="7F8ACDF8" w14:textId="4C66E173" w:rsidR="00BF653D" w:rsidRPr="00D35146" w:rsidRDefault="00BF653D" w:rsidP="00BF653D">
            <w:pPr>
              <w:pStyle w:val="ListParagraph"/>
              <w:numPr>
                <w:ilvl w:val="0"/>
                <w:numId w:val="4"/>
              </w:numPr>
              <w:jc w:val="left"/>
              <w:rPr>
                <w:rFonts w:cstheme="minorHAnsi"/>
              </w:rPr>
            </w:pPr>
            <w:r w:rsidRPr="00D35146">
              <w:rPr>
                <w:rFonts w:cstheme="minorHAnsi"/>
              </w:rPr>
              <w:t>Increased risk of lithium toxicity – manufacturer advises avoid</w:t>
            </w:r>
          </w:p>
        </w:tc>
        <w:tc>
          <w:tcPr>
            <w:tcW w:w="3260" w:type="dxa"/>
          </w:tcPr>
          <w:p w14:paraId="57AA4DB7" w14:textId="77777777" w:rsidR="00BF653D" w:rsidRPr="00DE2ACF" w:rsidRDefault="00BF653D" w:rsidP="00BF653D">
            <w:pPr>
              <w:jc w:val="left"/>
              <w:rPr>
                <w:rFonts w:cstheme="minorHAnsi"/>
                <w:u w:val="single"/>
              </w:rPr>
            </w:pPr>
            <w:r w:rsidRPr="00DE2ACF">
              <w:rPr>
                <w:rFonts w:cstheme="minorHAnsi"/>
                <w:u w:val="single"/>
              </w:rPr>
              <w:t>Pregnancy:</w:t>
            </w:r>
          </w:p>
          <w:p w14:paraId="3B743BF3" w14:textId="0BA07EEC" w:rsidR="00BF653D" w:rsidRDefault="00BF653D" w:rsidP="00BF653D">
            <w:pPr>
              <w:jc w:val="left"/>
              <w:rPr>
                <w:rFonts w:cstheme="minorHAnsi"/>
              </w:rPr>
            </w:pPr>
            <w:r>
              <w:rPr>
                <w:rFonts w:cstheme="minorHAnsi"/>
              </w:rPr>
              <w:t xml:space="preserve">Do not use in </w:t>
            </w:r>
            <w:r w:rsidR="0078710A">
              <w:rPr>
                <w:rFonts w:cstheme="minorHAnsi"/>
              </w:rPr>
              <w:t>pregnancy</w:t>
            </w:r>
            <w:r>
              <w:rPr>
                <w:rFonts w:cstheme="minorHAnsi"/>
              </w:rPr>
              <w:t xml:space="preserve"> – risk of adverse effect on teeth and skeletal development.</w:t>
            </w:r>
          </w:p>
          <w:p w14:paraId="752CA447" w14:textId="77777777" w:rsidR="00BF653D" w:rsidRPr="00DE2ACF" w:rsidRDefault="00BF653D" w:rsidP="00BF653D">
            <w:pPr>
              <w:jc w:val="left"/>
              <w:rPr>
                <w:rFonts w:cstheme="minorHAnsi"/>
                <w:u w:val="single"/>
              </w:rPr>
            </w:pPr>
            <w:r w:rsidRPr="00DE2ACF">
              <w:rPr>
                <w:rFonts w:cstheme="minorHAnsi"/>
                <w:u w:val="single"/>
              </w:rPr>
              <w:t>Breastfeeding:</w:t>
            </w:r>
          </w:p>
          <w:p w14:paraId="0B0C9F41" w14:textId="4CA7312D" w:rsidR="00BF653D" w:rsidRDefault="00BF653D" w:rsidP="00BF653D">
            <w:pPr>
              <w:rPr>
                <w:b/>
                <w:bCs/>
                <w:i/>
                <w:iCs/>
                <w:u w:val="single"/>
              </w:rPr>
            </w:pPr>
            <w:r>
              <w:rPr>
                <w:rFonts w:cstheme="minorHAnsi"/>
              </w:rPr>
              <w:t xml:space="preserve">Avoid as tetracyclines excreted in milk. </w:t>
            </w:r>
          </w:p>
        </w:tc>
      </w:tr>
      <w:tr w:rsidR="00BF653D" w14:paraId="6112E931" w14:textId="77777777" w:rsidTr="00BF653D">
        <w:tc>
          <w:tcPr>
            <w:tcW w:w="2552" w:type="dxa"/>
            <w:shd w:val="clear" w:color="auto" w:fill="F4DDC4"/>
          </w:tcPr>
          <w:p w14:paraId="662C6952" w14:textId="45166F14" w:rsidR="00BF653D" w:rsidRDefault="00BF653D" w:rsidP="00BF653D">
            <w:pPr>
              <w:jc w:val="center"/>
              <w:rPr>
                <w:b/>
                <w:bCs/>
                <w:i/>
                <w:iCs/>
                <w:u w:val="single"/>
              </w:rPr>
            </w:pPr>
            <w:r w:rsidRPr="00BA70EA">
              <w:rPr>
                <w:b/>
                <w:bCs/>
              </w:rPr>
              <w:t>Flucloxacillin</w:t>
            </w:r>
          </w:p>
        </w:tc>
        <w:tc>
          <w:tcPr>
            <w:tcW w:w="3260" w:type="dxa"/>
          </w:tcPr>
          <w:p w14:paraId="08B0230B" w14:textId="77777777" w:rsidR="00BF653D" w:rsidRDefault="00BF653D" w:rsidP="00BF653D">
            <w:pPr>
              <w:pStyle w:val="ListParagraph"/>
              <w:numPr>
                <w:ilvl w:val="0"/>
                <w:numId w:val="10"/>
              </w:numPr>
              <w:jc w:val="left"/>
              <w:rPr>
                <w:rFonts w:cstheme="minorHAnsi"/>
              </w:rPr>
            </w:pPr>
            <w:r w:rsidRPr="000207A3">
              <w:rPr>
                <w:rFonts w:cstheme="minorHAnsi"/>
              </w:rPr>
              <w:t xml:space="preserve">Take on an empty stomach 60 minutes </w:t>
            </w:r>
            <w:r w:rsidRPr="000207A3">
              <w:rPr>
                <w:rFonts w:cstheme="minorHAnsi"/>
              </w:rPr>
              <w:lastRenderedPageBreak/>
              <w:t>before food or at least 2 hours after.</w:t>
            </w:r>
          </w:p>
          <w:p w14:paraId="5FC44D1C" w14:textId="77777777" w:rsidR="00BF653D" w:rsidRDefault="00BF653D" w:rsidP="00BF653D">
            <w:pPr>
              <w:pStyle w:val="ListParagraph"/>
              <w:numPr>
                <w:ilvl w:val="0"/>
                <w:numId w:val="10"/>
              </w:numPr>
              <w:jc w:val="left"/>
              <w:rPr>
                <w:rFonts w:cstheme="minorHAnsi"/>
              </w:rPr>
            </w:pPr>
            <w:r w:rsidRPr="000207A3">
              <w:rPr>
                <w:rFonts w:cstheme="minorHAnsi"/>
              </w:rPr>
              <w:t>Take with a full glass of water (250ml).</w:t>
            </w:r>
          </w:p>
          <w:p w14:paraId="50D14B06" w14:textId="2385D189" w:rsidR="00BF653D" w:rsidRPr="00BF653D" w:rsidRDefault="00BF653D" w:rsidP="00BF653D">
            <w:pPr>
              <w:pStyle w:val="ListParagraph"/>
              <w:numPr>
                <w:ilvl w:val="0"/>
                <w:numId w:val="10"/>
              </w:numPr>
              <w:jc w:val="left"/>
              <w:rPr>
                <w:rFonts w:cstheme="minorHAnsi"/>
              </w:rPr>
            </w:pPr>
            <w:r w:rsidRPr="00BF653D">
              <w:rPr>
                <w:rFonts w:cstheme="minorHAnsi"/>
              </w:rPr>
              <w:t>Alcohol in moderation is unlikely to cause problems.</w:t>
            </w:r>
          </w:p>
        </w:tc>
        <w:tc>
          <w:tcPr>
            <w:tcW w:w="2694" w:type="dxa"/>
          </w:tcPr>
          <w:p w14:paraId="33424798" w14:textId="77777777" w:rsidR="00BF653D" w:rsidRPr="00AA298E" w:rsidRDefault="00BF653D" w:rsidP="00BF653D">
            <w:pPr>
              <w:pStyle w:val="ListParagraph"/>
              <w:numPr>
                <w:ilvl w:val="0"/>
                <w:numId w:val="3"/>
              </w:numPr>
              <w:jc w:val="left"/>
              <w:rPr>
                <w:rFonts w:cstheme="minorHAnsi"/>
              </w:rPr>
            </w:pPr>
            <w:r w:rsidRPr="00AA298E">
              <w:rPr>
                <w:rFonts w:cstheme="minorHAnsi"/>
              </w:rPr>
              <w:lastRenderedPageBreak/>
              <w:t>Nausea</w:t>
            </w:r>
            <w:r>
              <w:rPr>
                <w:rFonts w:cstheme="minorHAnsi"/>
              </w:rPr>
              <w:t>/</w:t>
            </w:r>
            <w:r w:rsidRPr="00AA298E">
              <w:rPr>
                <w:rFonts w:cstheme="minorHAnsi"/>
              </w:rPr>
              <w:t>vomiting</w:t>
            </w:r>
          </w:p>
          <w:p w14:paraId="10C16218" w14:textId="77777777" w:rsidR="00BF653D" w:rsidRPr="00AA298E" w:rsidRDefault="00BF653D" w:rsidP="00BF653D">
            <w:pPr>
              <w:pStyle w:val="ListParagraph"/>
              <w:numPr>
                <w:ilvl w:val="0"/>
                <w:numId w:val="3"/>
              </w:numPr>
              <w:jc w:val="left"/>
              <w:rPr>
                <w:rFonts w:cstheme="minorHAnsi"/>
              </w:rPr>
            </w:pPr>
            <w:r w:rsidRPr="00AA298E">
              <w:rPr>
                <w:rFonts w:cstheme="minorHAnsi"/>
              </w:rPr>
              <w:t>Diarrhoea</w:t>
            </w:r>
          </w:p>
          <w:p w14:paraId="08381607" w14:textId="77777777" w:rsidR="00BF653D" w:rsidRDefault="00BF653D" w:rsidP="00BF653D">
            <w:pPr>
              <w:rPr>
                <w:b/>
                <w:bCs/>
                <w:i/>
                <w:iCs/>
                <w:u w:val="single"/>
              </w:rPr>
            </w:pPr>
          </w:p>
        </w:tc>
        <w:tc>
          <w:tcPr>
            <w:tcW w:w="3685" w:type="dxa"/>
          </w:tcPr>
          <w:p w14:paraId="65DCFE52" w14:textId="77777777" w:rsidR="00BF653D" w:rsidRPr="00AA298E" w:rsidRDefault="00BF653D" w:rsidP="00BF653D">
            <w:pPr>
              <w:pStyle w:val="ListParagraph"/>
              <w:numPr>
                <w:ilvl w:val="0"/>
                <w:numId w:val="4"/>
              </w:numPr>
              <w:jc w:val="left"/>
              <w:rPr>
                <w:rFonts w:cstheme="minorHAnsi"/>
              </w:rPr>
            </w:pPr>
            <w:r w:rsidRPr="00AA298E">
              <w:rPr>
                <w:rFonts w:cstheme="minorHAnsi"/>
              </w:rPr>
              <w:t>Use with caution in hepatic impairment.</w:t>
            </w:r>
          </w:p>
          <w:p w14:paraId="3CABB06A" w14:textId="77777777" w:rsidR="00D35146" w:rsidRDefault="00BF653D" w:rsidP="00BF653D">
            <w:pPr>
              <w:pStyle w:val="ListParagraph"/>
              <w:numPr>
                <w:ilvl w:val="0"/>
                <w:numId w:val="4"/>
              </w:numPr>
              <w:jc w:val="left"/>
              <w:rPr>
                <w:rFonts w:cstheme="minorHAnsi"/>
              </w:rPr>
            </w:pPr>
            <w:r w:rsidRPr="00AA298E">
              <w:rPr>
                <w:rFonts w:cstheme="minorHAnsi"/>
              </w:rPr>
              <w:lastRenderedPageBreak/>
              <w:t>May affect INR in patients on warfarin</w:t>
            </w:r>
          </w:p>
          <w:p w14:paraId="6AB1ACC8" w14:textId="284A1245" w:rsidR="00BF653D" w:rsidRPr="00D35146" w:rsidRDefault="00BF653D" w:rsidP="00BF653D">
            <w:pPr>
              <w:pStyle w:val="ListParagraph"/>
              <w:numPr>
                <w:ilvl w:val="0"/>
                <w:numId w:val="4"/>
              </w:numPr>
              <w:jc w:val="left"/>
              <w:rPr>
                <w:rFonts w:cstheme="minorHAnsi"/>
              </w:rPr>
            </w:pPr>
            <w:r w:rsidRPr="00D35146">
              <w:rPr>
                <w:rFonts w:cstheme="minorHAnsi"/>
              </w:rPr>
              <w:t>Increased risk of methotrexate toxicity</w:t>
            </w:r>
          </w:p>
        </w:tc>
        <w:tc>
          <w:tcPr>
            <w:tcW w:w="3260" w:type="dxa"/>
          </w:tcPr>
          <w:p w14:paraId="2087ABDF" w14:textId="77777777" w:rsidR="00BF653D" w:rsidRPr="00B56E6B" w:rsidRDefault="00BF653D" w:rsidP="00BF653D">
            <w:pPr>
              <w:jc w:val="left"/>
              <w:rPr>
                <w:rFonts w:cstheme="minorHAnsi"/>
                <w:u w:val="single"/>
              </w:rPr>
            </w:pPr>
            <w:r w:rsidRPr="00B56E6B">
              <w:rPr>
                <w:rFonts w:cstheme="minorHAnsi"/>
                <w:u w:val="single"/>
              </w:rPr>
              <w:lastRenderedPageBreak/>
              <w:t>Pregnancy:</w:t>
            </w:r>
          </w:p>
          <w:p w14:paraId="0FD94057" w14:textId="77777777" w:rsidR="00BF653D" w:rsidRDefault="00BF653D" w:rsidP="00BF653D">
            <w:pPr>
              <w:jc w:val="left"/>
              <w:rPr>
                <w:rFonts w:cstheme="minorHAnsi"/>
              </w:rPr>
            </w:pPr>
            <w:r>
              <w:rPr>
                <w:rFonts w:cstheme="minorHAnsi"/>
              </w:rPr>
              <w:t>Not known to be harmful</w:t>
            </w:r>
          </w:p>
          <w:p w14:paraId="1C85F12C" w14:textId="77777777" w:rsidR="00BF653D" w:rsidRPr="00B56E6B" w:rsidRDefault="00BF653D" w:rsidP="00BF653D">
            <w:pPr>
              <w:jc w:val="left"/>
              <w:rPr>
                <w:rFonts w:cstheme="minorHAnsi"/>
                <w:u w:val="single"/>
              </w:rPr>
            </w:pPr>
            <w:r w:rsidRPr="00B56E6B">
              <w:rPr>
                <w:rFonts w:cstheme="minorHAnsi"/>
                <w:u w:val="single"/>
              </w:rPr>
              <w:t>Breastfeeding:</w:t>
            </w:r>
          </w:p>
          <w:p w14:paraId="3D3E753C" w14:textId="5981D4DD" w:rsidR="00BF653D" w:rsidRDefault="00BF653D" w:rsidP="00BF653D">
            <w:pPr>
              <w:rPr>
                <w:b/>
                <w:bCs/>
                <w:i/>
                <w:iCs/>
                <w:u w:val="single"/>
              </w:rPr>
            </w:pPr>
            <w:r>
              <w:rPr>
                <w:rFonts w:cstheme="minorHAnsi"/>
              </w:rPr>
              <w:lastRenderedPageBreak/>
              <w:t>Trace amounts in milk but appropriate to use</w:t>
            </w:r>
          </w:p>
        </w:tc>
      </w:tr>
    </w:tbl>
    <w:p w14:paraId="6A20A3B3" w14:textId="77777777" w:rsidR="00A42CB5" w:rsidRDefault="00A42CB5" w:rsidP="00A42CB5"/>
    <w:p w14:paraId="66B47AB2" w14:textId="5B219A4A" w:rsidR="00A42CB5" w:rsidRDefault="00A42CB5" w:rsidP="00A42CB5">
      <w:pPr>
        <w:tabs>
          <w:tab w:val="left" w:pos="900"/>
        </w:tabs>
      </w:pPr>
      <w:r>
        <w:tab/>
      </w:r>
    </w:p>
    <w:p w14:paraId="3328DD54" w14:textId="77777777" w:rsidR="00A42CB5" w:rsidRDefault="00A42CB5" w:rsidP="00A42CB5">
      <w:pPr>
        <w:tabs>
          <w:tab w:val="left" w:pos="900"/>
        </w:tabs>
      </w:pPr>
    </w:p>
    <w:p w14:paraId="7866A653" w14:textId="34D3EC70" w:rsidR="00A42CB5" w:rsidRPr="00A42CB5" w:rsidRDefault="00A42CB5" w:rsidP="00A42CB5">
      <w:pPr>
        <w:tabs>
          <w:tab w:val="left" w:pos="900"/>
        </w:tabs>
        <w:sectPr w:rsidR="00A42CB5" w:rsidRPr="00A42CB5" w:rsidSect="000C25D7">
          <w:headerReference w:type="default" r:id="rId14"/>
          <w:footerReference w:type="default" r:id="rId15"/>
          <w:pgSz w:w="16838" w:h="11906" w:orient="landscape"/>
          <w:pgMar w:top="1560" w:right="1440" w:bottom="993" w:left="1276" w:header="708" w:footer="708" w:gutter="0"/>
          <w:cols w:space="708"/>
          <w:docGrid w:linePitch="360"/>
        </w:sectPr>
      </w:pPr>
      <w:r>
        <w:tab/>
      </w:r>
    </w:p>
    <w:tbl>
      <w:tblPr>
        <w:tblStyle w:val="TableGrid"/>
        <w:tblW w:w="15451" w:type="dxa"/>
        <w:tblInd w:w="-714" w:type="dxa"/>
        <w:tblLook w:val="04A0" w:firstRow="1" w:lastRow="0" w:firstColumn="1" w:lastColumn="0" w:noHBand="0" w:noVBand="1"/>
      </w:tblPr>
      <w:tblGrid>
        <w:gridCol w:w="2552"/>
        <w:gridCol w:w="3164"/>
        <w:gridCol w:w="2838"/>
        <w:gridCol w:w="3780"/>
        <w:gridCol w:w="3117"/>
      </w:tblGrid>
      <w:tr w:rsidR="000C25D7" w14:paraId="4256C23D" w14:textId="77777777" w:rsidTr="00026DB6">
        <w:trPr>
          <w:trHeight w:val="280"/>
        </w:trPr>
        <w:tc>
          <w:tcPr>
            <w:tcW w:w="2552" w:type="dxa"/>
            <w:shd w:val="clear" w:color="auto" w:fill="F4DDC4"/>
          </w:tcPr>
          <w:p w14:paraId="00B064F3" w14:textId="77777777" w:rsidR="00855AC5" w:rsidRPr="00855AC5" w:rsidRDefault="00855AC5" w:rsidP="00855AC5">
            <w:pPr>
              <w:jc w:val="center"/>
              <w:rPr>
                <w:b/>
                <w:bCs/>
              </w:rPr>
            </w:pPr>
          </w:p>
          <w:p w14:paraId="6C4A7004" w14:textId="19F5AB11" w:rsidR="000C25D7" w:rsidRPr="00855AC5" w:rsidRDefault="000C25D7" w:rsidP="00855AC5">
            <w:pPr>
              <w:jc w:val="center"/>
              <w:rPr>
                <w:b/>
                <w:bCs/>
              </w:rPr>
            </w:pPr>
            <w:r w:rsidRPr="00855AC5">
              <w:rPr>
                <w:b/>
                <w:bCs/>
              </w:rPr>
              <w:t>Antibiotic</w:t>
            </w:r>
          </w:p>
        </w:tc>
        <w:tc>
          <w:tcPr>
            <w:tcW w:w="3164" w:type="dxa"/>
            <w:shd w:val="clear" w:color="auto" w:fill="F4DDC4"/>
          </w:tcPr>
          <w:p w14:paraId="26E3E7D0" w14:textId="77777777" w:rsidR="00855AC5" w:rsidRPr="00855AC5" w:rsidRDefault="00855AC5" w:rsidP="00855AC5">
            <w:pPr>
              <w:pStyle w:val="ListParagraph"/>
              <w:jc w:val="center"/>
              <w:rPr>
                <w:b/>
                <w:bCs/>
              </w:rPr>
            </w:pPr>
          </w:p>
          <w:p w14:paraId="7EB834D2" w14:textId="0A1D737B" w:rsidR="000C25D7" w:rsidRPr="00855AC5" w:rsidRDefault="000C25D7" w:rsidP="00855AC5">
            <w:pPr>
              <w:pStyle w:val="ListParagraph"/>
              <w:rPr>
                <w:rFonts w:cstheme="minorHAnsi"/>
                <w:b/>
                <w:bCs/>
              </w:rPr>
            </w:pPr>
            <w:r w:rsidRPr="00855AC5">
              <w:rPr>
                <w:b/>
                <w:bCs/>
              </w:rPr>
              <w:t>How to take</w:t>
            </w:r>
          </w:p>
        </w:tc>
        <w:tc>
          <w:tcPr>
            <w:tcW w:w="2838" w:type="dxa"/>
            <w:shd w:val="clear" w:color="auto" w:fill="F4DDC4"/>
          </w:tcPr>
          <w:p w14:paraId="2546AD2F" w14:textId="77777777" w:rsidR="00855AC5" w:rsidRPr="00855AC5" w:rsidRDefault="00855AC5" w:rsidP="00855AC5">
            <w:pPr>
              <w:jc w:val="center"/>
              <w:rPr>
                <w:b/>
                <w:bCs/>
              </w:rPr>
            </w:pPr>
          </w:p>
          <w:p w14:paraId="7BCF67BA" w14:textId="1040E966" w:rsidR="000C25D7" w:rsidRPr="00855AC5" w:rsidRDefault="000C25D7" w:rsidP="00855AC5">
            <w:pPr>
              <w:jc w:val="center"/>
              <w:rPr>
                <w:rFonts w:cstheme="minorHAnsi"/>
                <w:b/>
                <w:bCs/>
              </w:rPr>
            </w:pPr>
            <w:r w:rsidRPr="00855AC5">
              <w:rPr>
                <w:b/>
                <w:bCs/>
              </w:rPr>
              <w:t>Common Side Effects</w:t>
            </w:r>
          </w:p>
        </w:tc>
        <w:tc>
          <w:tcPr>
            <w:tcW w:w="3780" w:type="dxa"/>
            <w:shd w:val="clear" w:color="auto" w:fill="F4DDC4"/>
          </w:tcPr>
          <w:p w14:paraId="67C81AA7" w14:textId="77777777" w:rsidR="00855AC5" w:rsidRPr="00855AC5" w:rsidRDefault="00855AC5" w:rsidP="00855AC5">
            <w:pPr>
              <w:pStyle w:val="ListParagraph"/>
              <w:ind w:left="502"/>
              <w:jc w:val="center"/>
              <w:rPr>
                <w:b/>
                <w:bCs/>
              </w:rPr>
            </w:pPr>
          </w:p>
          <w:p w14:paraId="5ECB4C1F" w14:textId="236EABF8" w:rsidR="000C25D7" w:rsidRPr="00855AC5" w:rsidRDefault="000C25D7" w:rsidP="00855AC5">
            <w:pPr>
              <w:pStyle w:val="ListParagraph"/>
              <w:ind w:left="502"/>
              <w:jc w:val="center"/>
              <w:rPr>
                <w:rFonts w:cstheme="minorHAnsi"/>
                <w:b/>
                <w:bCs/>
              </w:rPr>
            </w:pPr>
            <w:r w:rsidRPr="00855AC5">
              <w:rPr>
                <w:b/>
                <w:bCs/>
              </w:rPr>
              <w:t>Cautions/Major Interactions*</w:t>
            </w:r>
          </w:p>
        </w:tc>
        <w:tc>
          <w:tcPr>
            <w:tcW w:w="3117" w:type="dxa"/>
            <w:shd w:val="clear" w:color="auto" w:fill="F4DDC4"/>
          </w:tcPr>
          <w:p w14:paraId="35AEB892" w14:textId="77777777" w:rsidR="00855AC5" w:rsidRPr="00855AC5" w:rsidRDefault="00855AC5" w:rsidP="00855AC5">
            <w:pPr>
              <w:jc w:val="center"/>
              <w:rPr>
                <w:b/>
                <w:bCs/>
              </w:rPr>
            </w:pPr>
          </w:p>
          <w:p w14:paraId="38341D59" w14:textId="02B35ACA" w:rsidR="000C25D7" w:rsidRPr="00855AC5" w:rsidRDefault="000C25D7" w:rsidP="00855AC5">
            <w:pPr>
              <w:jc w:val="center"/>
              <w:rPr>
                <w:rFonts w:cstheme="minorHAnsi"/>
                <w:b/>
                <w:bCs/>
                <w:u w:val="single"/>
              </w:rPr>
            </w:pPr>
            <w:r w:rsidRPr="00855AC5">
              <w:rPr>
                <w:b/>
                <w:bCs/>
              </w:rPr>
              <w:t>Pregnancy and Breastfeeding</w:t>
            </w:r>
          </w:p>
        </w:tc>
      </w:tr>
      <w:tr w:rsidR="00BF653D" w14:paraId="2EAECD59" w14:textId="77777777" w:rsidTr="00026DB6">
        <w:tc>
          <w:tcPr>
            <w:tcW w:w="2552" w:type="dxa"/>
            <w:shd w:val="clear" w:color="auto" w:fill="F4DDC4"/>
          </w:tcPr>
          <w:p w14:paraId="5DADC2B2" w14:textId="65F3F02B" w:rsidR="00BF653D" w:rsidRPr="00855AC5" w:rsidRDefault="00BF653D" w:rsidP="00794B3D">
            <w:pPr>
              <w:jc w:val="center"/>
              <w:rPr>
                <w:b/>
                <w:bCs/>
              </w:rPr>
            </w:pPr>
            <w:r w:rsidRPr="00BA70EA">
              <w:rPr>
                <w:b/>
                <w:bCs/>
              </w:rPr>
              <w:t>Metronidazole</w:t>
            </w:r>
          </w:p>
        </w:tc>
        <w:tc>
          <w:tcPr>
            <w:tcW w:w="3164" w:type="dxa"/>
            <w:shd w:val="clear" w:color="auto" w:fill="auto"/>
          </w:tcPr>
          <w:p w14:paraId="5A518E7E" w14:textId="77777777" w:rsidR="00BF653D" w:rsidRDefault="00BF653D" w:rsidP="00BF653D">
            <w:pPr>
              <w:pStyle w:val="ListParagraph"/>
              <w:numPr>
                <w:ilvl w:val="0"/>
                <w:numId w:val="11"/>
              </w:numPr>
              <w:jc w:val="left"/>
              <w:rPr>
                <w:rFonts w:cstheme="minorHAnsi"/>
              </w:rPr>
            </w:pPr>
            <w:r w:rsidRPr="000207A3">
              <w:rPr>
                <w:rFonts w:cstheme="minorHAnsi"/>
              </w:rPr>
              <w:t>Take with or after food with a full glass of water.</w:t>
            </w:r>
          </w:p>
          <w:p w14:paraId="6E1313E8" w14:textId="05D44EB2" w:rsidR="00BF653D" w:rsidRPr="000207A3" w:rsidRDefault="00BF653D" w:rsidP="00BF653D">
            <w:pPr>
              <w:pStyle w:val="ListParagraph"/>
              <w:numPr>
                <w:ilvl w:val="0"/>
                <w:numId w:val="12"/>
              </w:numPr>
              <w:jc w:val="left"/>
              <w:rPr>
                <w:rFonts w:cstheme="minorHAnsi"/>
              </w:rPr>
            </w:pPr>
            <w:r w:rsidRPr="00855AC5">
              <w:rPr>
                <w:rFonts w:cstheme="minorHAnsi"/>
              </w:rPr>
              <w:t>Do not drink alcohol while taking and for at least 48 hours after finishing treatment.</w:t>
            </w:r>
          </w:p>
        </w:tc>
        <w:tc>
          <w:tcPr>
            <w:tcW w:w="2838" w:type="dxa"/>
            <w:shd w:val="clear" w:color="auto" w:fill="auto"/>
          </w:tcPr>
          <w:p w14:paraId="3CDBAAC0" w14:textId="77777777" w:rsidR="00BF653D" w:rsidRPr="00AA298E" w:rsidRDefault="00BF653D" w:rsidP="00BF653D">
            <w:pPr>
              <w:pStyle w:val="ListParagraph"/>
              <w:numPr>
                <w:ilvl w:val="0"/>
                <w:numId w:val="3"/>
              </w:numPr>
              <w:jc w:val="left"/>
              <w:rPr>
                <w:rFonts w:cstheme="minorHAnsi"/>
              </w:rPr>
            </w:pPr>
            <w:r w:rsidRPr="00AA298E">
              <w:rPr>
                <w:rFonts w:cstheme="minorHAnsi"/>
              </w:rPr>
              <w:t>Nausea and vomiting</w:t>
            </w:r>
          </w:p>
          <w:p w14:paraId="52326868" w14:textId="77777777" w:rsidR="00BF653D" w:rsidRDefault="00BF653D" w:rsidP="00BF653D">
            <w:pPr>
              <w:pStyle w:val="ListParagraph"/>
              <w:numPr>
                <w:ilvl w:val="0"/>
                <w:numId w:val="3"/>
              </w:numPr>
              <w:jc w:val="left"/>
              <w:rPr>
                <w:rFonts w:cstheme="minorHAnsi"/>
              </w:rPr>
            </w:pPr>
            <w:r w:rsidRPr="00AA298E">
              <w:rPr>
                <w:rFonts w:cstheme="minorHAnsi"/>
              </w:rPr>
              <w:t>Diarrhoea</w:t>
            </w:r>
          </w:p>
          <w:p w14:paraId="6CEFA50A" w14:textId="72DC43C2" w:rsidR="00BF653D" w:rsidRPr="00AA298E" w:rsidRDefault="00BF653D" w:rsidP="00BF653D">
            <w:pPr>
              <w:pStyle w:val="ListParagraph"/>
              <w:numPr>
                <w:ilvl w:val="0"/>
                <w:numId w:val="3"/>
              </w:numPr>
              <w:jc w:val="left"/>
              <w:rPr>
                <w:rFonts w:cstheme="minorHAnsi"/>
              </w:rPr>
            </w:pPr>
            <w:r w:rsidRPr="00855AC5">
              <w:rPr>
                <w:rFonts w:cstheme="minorHAnsi"/>
              </w:rPr>
              <w:t>Taste disturbances</w:t>
            </w:r>
          </w:p>
        </w:tc>
        <w:tc>
          <w:tcPr>
            <w:tcW w:w="3780" w:type="dxa"/>
            <w:shd w:val="clear" w:color="auto" w:fill="auto"/>
          </w:tcPr>
          <w:p w14:paraId="07204B7D" w14:textId="77777777" w:rsidR="00BF653D" w:rsidRDefault="00BF653D" w:rsidP="00BF653D">
            <w:pPr>
              <w:pStyle w:val="ListParagraph"/>
              <w:numPr>
                <w:ilvl w:val="0"/>
                <w:numId w:val="4"/>
              </w:numPr>
              <w:jc w:val="left"/>
              <w:rPr>
                <w:rFonts w:cstheme="minorHAnsi"/>
              </w:rPr>
            </w:pPr>
            <w:r w:rsidRPr="00AA298E">
              <w:rPr>
                <w:rFonts w:cstheme="minorHAnsi"/>
              </w:rPr>
              <w:t>May affect INR in patients on warfarin.</w:t>
            </w:r>
          </w:p>
          <w:p w14:paraId="409B50EA" w14:textId="7CFC9DFF" w:rsidR="00BF653D" w:rsidRDefault="00BF653D" w:rsidP="00BF653D">
            <w:pPr>
              <w:pStyle w:val="ListParagraph"/>
              <w:numPr>
                <w:ilvl w:val="0"/>
                <w:numId w:val="3"/>
              </w:numPr>
              <w:jc w:val="left"/>
              <w:rPr>
                <w:rFonts w:cstheme="minorHAnsi"/>
              </w:rPr>
            </w:pPr>
            <w:r w:rsidRPr="00855AC5">
              <w:rPr>
                <w:rFonts w:cstheme="minorHAnsi"/>
              </w:rPr>
              <w:t>Increased risk of lithium toxicity – manufacturer advises avoid</w:t>
            </w:r>
          </w:p>
        </w:tc>
        <w:tc>
          <w:tcPr>
            <w:tcW w:w="3117" w:type="dxa"/>
            <w:shd w:val="clear" w:color="auto" w:fill="auto"/>
          </w:tcPr>
          <w:p w14:paraId="02464A8F" w14:textId="77777777" w:rsidR="00BF653D" w:rsidRPr="00B56E6B" w:rsidRDefault="00BF653D" w:rsidP="00BF653D">
            <w:pPr>
              <w:jc w:val="left"/>
              <w:rPr>
                <w:rFonts w:cstheme="minorHAnsi"/>
                <w:u w:val="single"/>
              </w:rPr>
            </w:pPr>
            <w:r w:rsidRPr="00B56E6B">
              <w:rPr>
                <w:rFonts w:cstheme="minorHAnsi"/>
                <w:u w:val="single"/>
              </w:rPr>
              <w:t>Pregnancy:</w:t>
            </w:r>
          </w:p>
          <w:p w14:paraId="5DA6FA6F" w14:textId="77777777" w:rsidR="00BF653D" w:rsidRDefault="00BF653D" w:rsidP="00BF653D">
            <w:pPr>
              <w:jc w:val="left"/>
              <w:rPr>
                <w:rFonts w:cstheme="minorHAnsi"/>
              </w:rPr>
            </w:pPr>
            <w:r>
              <w:rPr>
                <w:rFonts w:cstheme="minorHAnsi"/>
              </w:rPr>
              <w:t xml:space="preserve">Use if benefit outweighs risk – avoid high doses </w:t>
            </w:r>
          </w:p>
          <w:p w14:paraId="69E24DCA" w14:textId="77777777" w:rsidR="00BF653D" w:rsidRPr="00B56E6B" w:rsidRDefault="00BF653D" w:rsidP="00BF653D">
            <w:pPr>
              <w:jc w:val="left"/>
              <w:rPr>
                <w:rFonts w:cstheme="minorHAnsi"/>
                <w:u w:val="single"/>
              </w:rPr>
            </w:pPr>
            <w:r w:rsidRPr="00B56E6B">
              <w:rPr>
                <w:rFonts w:cstheme="minorHAnsi"/>
                <w:u w:val="single"/>
              </w:rPr>
              <w:t>Breastfeeding:</w:t>
            </w:r>
          </w:p>
          <w:p w14:paraId="217C0A95" w14:textId="29CF2A95" w:rsidR="00BF653D" w:rsidRPr="00735ABC" w:rsidRDefault="00BF653D" w:rsidP="00BF653D">
            <w:pPr>
              <w:jc w:val="left"/>
              <w:rPr>
                <w:rFonts w:cstheme="minorHAnsi"/>
                <w:u w:val="single"/>
              </w:rPr>
            </w:pPr>
            <w:r>
              <w:rPr>
                <w:rFonts w:cstheme="minorHAnsi"/>
              </w:rPr>
              <w:t>Significant amount in milk, avoid high single doses. May give milk a bitter taste.</w:t>
            </w:r>
          </w:p>
        </w:tc>
      </w:tr>
      <w:tr w:rsidR="00BF653D" w14:paraId="0C69F074" w14:textId="77777777" w:rsidTr="00026DB6">
        <w:tc>
          <w:tcPr>
            <w:tcW w:w="2552" w:type="dxa"/>
            <w:shd w:val="clear" w:color="auto" w:fill="F4DDC4"/>
          </w:tcPr>
          <w:p w14:paraId="19947526" w14:textId="77777777" w:rsidR="00BF653D" w:rsidRPr="00855AC5" w:rsidRDefault="00BF653D" w:rsidP="00794B3D">
            <w:pPr>
              <w:jc w:val="center"/>
              <w:rPr>
                <w:b/>
                <w:bCs/>
                <w:i/>
                <w:iCs/>
                <w:u w:val="single"/>
              </w:rPr>
            </w:pPr>
            <w:r w:rsidRPr="00855AC5">
              <w:rPr>
                <w:b/>
                <w:bCs/>
              </w:rPr>
              <w:t>Nitrofurantoin</w:t>
            </w:r>
          </w:p>
        </w:tc>
        <w:tc>
          <w:tcPr>
            <w:tcW w:w="3164" w:type="dxa"/>
            <w:shd w:val="clear" w:color="auto" w:fill="auto"/>
          </w:tcPr>
          <w:p w14:paraId="26159E70" w14:textId="77777777" w:rsidR="00BF653D" w:rsidRDefault="00BF653D" w:rsidP="00BF653D">
            <w:pPr>
              <w:pStyle w:val="ListParagraph"/>
              <w:numPr>
                <w:ilvl w:val="0"/>
                <w:numId w:val="12"/>
              </w:numPr>
              <w:jc w:val="left"/>
              <w:rPr>
                <w:rFonts w:cstheme="minorHAnsi"/>
              </w:rPr>
            </w:pPr>
            <w:r w:rsidRPr="000207A3">
              <w:rPr>
                <w:rFonts w:cstheme="minorHAnsi"/>
              </w:rPr>
              <w:t>Take with or after food to avoid gastric upset.</w:t>
            </w:r>
          </w:p>
          <w:p w14:paraId="28CEB1A5" w14:textId="096295B3" w:rsidR="00BF653D" w:rsidRPr="000C25D7" w:rsidRDefault="00BF653D" w:rsidP="00BF653D">
            <w:pPr>
              <w:pStyle w:val="ListParagraph"/>
              <w:numPr>
                <w:ilvl w:val="0"/>
                <w:numId w:val="12"/>
              </w:numPr>
              <w:jc w:val="left"/>
              <w:rPr>
                <w:rFonts w:cstheme="minorHAnsi"/>
              </w:rPr>
            </w:pPr>
            <w:r w:rsidRPr="000C25D7">
              <w:rPr>
                <w:rFonts w:cstheme="minorHAnsi"/>
              </w:rPr>
              <w:t>Alcohol in moderation is unlikely to cause problems.</w:t>
            </w:r>
          </w:p>
        </w:tc>
        <w:tc>
          <w:tcPr>
            <w:tcW w:w="2838" w:type="dxa"/>
            <w:shd w:val="clear" w:color="auto" w:fill="auto"/>
          </w:tcPr>
          <w:p w14:paraId="1C81DD09" w14:textId="77777777" w:rsidR="00BF653D" w:rsidRPr="00AA298E" w:rsidRDefault="00BF653D" w:rsidP="00BF653D">
            <w:pPr>
              <w:pStyle w:val="ListParagraph"/>
              <w:numPr>
                <w:ilvl w:val="0"/>
                <w:numId w:val="3"/>
              </w:numPr>
              <w:jc w:val="left"/>
              <w:rPr>
                <w:rFonts w:cstheme="minorHAnsi"/>
              </w:rPr>
            </w:pPr>
            <w:r w:rsidRPr="00AA298E">
              <w:rPr>
                <w:rFonts w:cstheme="minorHAnsi"/>
              </w:rPr>
              <w:t>Nausea</w:t>
            </w:r>
            <w:r>
              <w:rPr>
                <w:rFonts w:cstheme="minorHAnsi"/>
              </w:rPr>
              <w:t>/</w:t>
            </w:r>
            <w:r w:rsidRPr="00AA298E">
              <w:rPr>
                <w:rFonts w:cstheme="minorHAnsi"/>
              </w:rPr>
              <w:t>vomiting</w:t>
            </w:r>
          </w:p>
          <w:p w14:paraId="3D0970CB" w14:textId="77777777" w:rsidR="00BF653D" w:rsidRPr="00AA298E" w:rsidRDefault="00BF653D" w:rsidP="00BF653D">
            <w:pPr>
              <w:pStyle w:val="ListParagraph"/>
              <w:numPr>
                <w:ilvl w:val="0"/>
                <w:numId w:val="3"/>
              </w:numPr>
              <w:jc w:val="left"/>
              <w:rPr>
                <w:rFonts w:cstheme="minorHAnsi"/>
              </w:rPr>
            </w:pPr>
            <w:r w:rsidRPr="00AA298E">
              <w:rPr>
                <w:rFonts w:cstheme="minorHAnsi"/>
              </w:rPr>
              <w:t>Diarrhoea</w:t>
            </w:r>
          </w:p>
          <w:p w14:paraId="2E390360" w14:textId="77777777" w:rsidR="00BF653D" w:rsidRPr="00AA298E" w:rsidRDefault="00BF653D" w:rsidP="00BF653D">
            <w:pPr>
              <w:pStyle w:val="ListParagraph"/>
              <w:numPr>
                <w:ilvl w:val="0"/>
                <w:numId w:val="3"/>
              </w:numPr>
              <w:jc w:val="left"/>
              <w:rPr>
                <w:rFonts w:cstheme="minorHAnsi"/>
              </w:rPr>
            </w:pPr>
            <w:r w:rsidRPr="00AA298E">
              <w:rPr>
                <w:rFonts w:cstheme="minorHAnsi"/>
              </w:rPr>
              <w:t>Dark yellow/brown urine</w:t>
            </w:r>
          </w:p>
          <w:p w14:paraId="0D271E08" w14:textId="77777777" w:rsidR="00BF653D" w:rsidRDefault="00BF653D" w:rsidP="00BF653D">
            <w:pPr>
              <w:pStyle w:val="ListParagraph"/>
              <w:numPr>
                <w:ilvl w:val="0"/>
                <w:numId w:val="3"/>
              </w:numPr>
              <w:jc w:val="left"/>
              <w:rPr>
                <w:rFonts w:cstheme="minorHAnsi"/>
              </w:rPr>
            </w:pPr>
            <w:r w:rsidRPr="00AA298E">
              <w:rPr>
                <w:rFonts w:cstheme="minorHAnsi"/>
              </w:rPr>
              <w:t>Loss of appetite</w:t>
            </w:r>
          </w:p>
          <w:p w14:paraId="19633988" w14:textId="17AE19F9" w:rsidR="00BF653D" w:rsidRPr="000C25D7" w:rsidRDefault="00BF653D" w:rsidP="00BF653D">
            <w:pPr>
              <w:pStyle w:val="ListParagraph"/>
              <w:numPr>
                <w:ilvl w:val="0"/>
                <w:numId w:val="3"/>
              </w:numPr>
              <w:jc w:val="left"/>
              <w:rPr>
                <w:rFonts w:cstheme="minorHAnsi"/>
              </w:rPr>
            </w:pPr>
            <w:r w:rsidRPr="000C25D7">
              <w:rPr>
                <w:rFonts w:cstheme="minorHAnsi"/>
              </w:rPr>
              <w:t>Headaches</w:t>
            </w:r>
          </w:p>
        </w:tc>
        <w:tc>
          <w:tcPr>
            <w:tcW w:w="3780" w:type="dxa"/>
            <w:shd w:val="clear" w:color="auto" w:fill="auto"/>
          </w:tcPr>
          <w:p w14:paraId="0EA2DCD8" w14:textId="77777777" w:rsidR="00BF653D" w:rsidRDefault="00BF653D" w:rsidP="00BF653D">
            <w:pPr>
              <w:pStyle w:val="ListParagraph"/>
              <w:numPr>
                <w:ilvl w:val="0"/>
                <w:numId w:val="3"/>
              </w:numPr>
              <w:jc w:val="left"/>
              <w:rPr>
                <w:rFonts w:cstheme="minorHAnsi"/>
              </w:rPr>
            </w:pPr>
            <w:r>
              <w:rPr>
                <w:rFonts w:cstheme="minorHAnsi"/>
              </w:rPr>
              <w:t>Avoid in renal impairment/CKD</w:t>
            </w:r>
          </w:p>
          <w:p w14:paraId="18FEF40F" w14:textId="77777777" w:rsidR="00BF653D" w:rsidRDefault="00BF653D" w:rsidP="00BF653D">
            <w:pPr>
              <w:pStyle w:val="ListParagraph"/>
              <w:numPr>
                <w:ilvl w:val="0"/>
                <w:numId w:val="3"/>
              </w:numPr>
              <w:jc w:val="left"/>
              <w:rPr>
                <w:rFonts w:cstheme="minorHAnsi"/>
              </w:rPr>
            </w:pPr>
            <w:r>
              <w:rPr>
                <w:rFonts w:cstheme="minorHAnsi"/>
              </w:rPr>
              <w:t>In courses &gt;6 months monitor for development of non-productive/progressive/persistent cough</w:t>
            </w:r>
          </w:p>
          <w:p w14:paraId="07E58FA9" w14:textId="77777777" w:rsidR="00BF653D" w:rsidRPr="00AA298E" w:rsidRDefault="00BF653D" w:rsidP="00BF653D">
            <w:pPr>
              <w:pStyle w:val="ListParagraph"/>
              <w:numPr>
                <w:ilvl w:val="0"/>
                <w:numId w:val="3"/>
              </w:numPr>
              <w:jc w:val="left"/>
              <w:rPr>
                <w:rFonts w:cstheme="minorHAnsi"/>
              </w:rPr>
            </w:pPr>
            <w:r>
              <w:rPr>
                <w:rFonts w:cstheme="minorHAnsi"/>
              </w:rPr>
              <w:t>Contraindicated in infants less than 3 months old</w:t>
            </w:r>
          </w:p>
          <w:p w14:paraId="0CC50051" w14:textId="77777777" w:rsidR="00BF653D" w:rsidRDefault="00BF653D" w:rsidP="00BF653D">
            <w:pPr>
              <w:rPr>
                <w:b/>
                <w:bCs/>
                <w:i/>
                <w:iCs/>
                <w:u w:val="single"/>
              </w:rPr>
            </w:pPr>
          </w:p>
        </w:tc>
        <w:tc>
          <w:tcPr>
            <w:tcW w:w="3117" w:type="dxa"/>
            <w:shd w:val="clear" w:color="auto" w:fill="auto"/>
          </w:tcPr>
          <w:p w14:paraId="7CA9E68F" w14:textId="77777777" w:rsidR="00BF653D" w:rsidRPr="00735ABC" w:rsidRDefault="00BF653D" w:rsidP="00BF653D">
            <w:pPr>
              <w:jc w:val="left"/>
              <w:rPr>
                <w:rFonts w:cstheme="minorHAnsi"/>
                <w:u w:val="single"/>
              </w:rPr>
            </w:pPr>
            <w:r w:rsidRPr="00735ABC">
              <w:rPr>
                <w:rFonts w:cstheme="minorHAnsi"/>
                <w:u w:val="single"/>
              </w:rPr>
              <w:t>Pregnancy:</w:t>
            </w:r>
          </w:p>
          <w:p w14:paraId="1CFEF290" w14:textId="77777777" w:rsidR="00BF653D" w:rsidRDefault="00BF653D" w:rsidP="00BF653D">
            <w:pPr>
              <w:jc w:val="left"/>
              <w:rPr>
                <w:rFonts w:cstheme="minorHAnsi"/>
              </w:rPr>
            </w:pPr>
            <w:r>
              <w:rPr>
                <w:rFonts w:cstheme="minorHAnsi"/>
              </w:rPr>
              <w:t>Avoid at term – may produce neonatal haemolysis.</w:t>
            </w:r>
          </w:p>
          <w:p w14:paraId="7BAC4677" w14:textId="77777777" w:rsidR="00BF653D" w:rsidRPr="00735ABC" w:rsidRDefault="00BF653D" w:rsidP="00BF653D">
            <w:pPr>
              <w:jc w:val="left"/>
              <w:rPr>
                <w:rFonts w:cstheme="minorHAnsi"/>
                <w:u w:val="single"/>
              </w:rPr>
            </w:pPr>
            <w:r w:rsidRPr="00735ABC">
              <w:rPr>
                <w:rFonts w:cstheme="minorHAnsi"/>
                <w:u w:val="single"/>
              </w:rPr>
              <w:t>Breastfeeding:</w:t>
            </w:r>
          </w:p>
          <w:p w14:paraId="1B18405D" w14:textId="77777777" w:rsidR="00BF653D" w:rsidRDefault="00BF653D" w:rsidP="00BF653D">
            <w:pPr>
              <w:rPr>
                <w:b/>
                <w:bCs/>
                <w:i/>
                <w:iCs/>
                <w:u w:val="single"/>
              </w:rPr>
            </w:pPr>
            <w:r w:rsidRPr="00735ABC">
              <w:rPr>
                <w:rFonts w:cstheme="minorHAnsi"/>
              </w:rPr>
              <w:t>Avoid</w:t>
            </w:r>
            <w:r>
              <w:rPr>
                <w:rFonts w:cstheme="minorHAnsi"/>
              </w:rPr>
              <w:t xml:space="preserve">, </w:t>
            </w:r>
            <w:r w:rsidRPr="00735ABC">
              <w:rPr>
                <w:rFonts w:cstheme="minorHAnsi"/>
              </w:rPr>
              <w:t>small amounts in milk but enough to produce haemolysis in G6PD-deficient infants</w:t>
            </w:r>
          </w:p>
        </w:tc>
      </w:tr>
      <w:tr w:rsidR="00BF653D" w14:paraId="7FE14273" w14:textId="77777777" w:rsidTr="00026DB6">
        <w:tc>
          <w:tcPr>
            <w:tcW w:w="2552" w:type="dxa"/>
            <w:shd w:val="clear" w:color="auto" w:fill="F4DDC4"/>
          </w:tcPr>
          <w:p w14:paraId="573A3C40" w14:textId="77777777" w:rsidR="00BF653D" w:rsidRPr="00855AC5" w:rsidRDefault="00BF653D" w:rsidP="00794B3D">
            <w:pPr>
              <w:jc w:val="center"/>
              <w:rPr>
                <w:b/>
                <w:bCs/>
                <w:i/>
                <w:iCs/>
                <w:u w:val="single"/>
              </w:rPr>
            </w:pPr>
            <w:r w:rsidRPr="00855AC5">
              <w:rPr>
                <w:b/>
                <w:bCs/>
              </w:rPr>
              <w:t>Phenoxymethylpenicillin (Pen V)</w:t>
            </w:r>
          </w:p>
        </w:tc>
        <w:tc>
          <w:tcPr>
            <w:tcW w:w="3164" w:type="dxa"/>
            <w:shd w:val="clear" w:color="auto" w:fill="auto"/>
          </w:tcPr>
          <w:p w14:paraId="7DEE5703" w14:textId="77777777" w:rsidR="00BF653D" w:rsidRDefault="00BF653D" w:rsidP="00BF653D">
            <w:pPr>
              <w:pStyle w:val="ListParagraph"/>
              <w:numPr>
                <w:ilvl w:val="0"/>
                <w:numId w:val="13"/>
              </w:numPr>
              <w:jc w:val="left"/>
              <w:rPr>
                <w:rFonts w:cstheme="minorHAnsi"/>
              </w:rPr>
            </w:pPr>
            <w:r w:rsidRPr="000207A3">
              <w:rPr>
                <w:rFonts w:cstheme="minorHAnsi"/>
              </w:rPr>
              <w:t>Take one hour before or at least 2 hours after food.</w:t>
            </w:r>
          </w:p>
          <w:p w14:paraId="067B2799" w14:textId="177EFE4C" w:rsidR="00BF653D" w:rsidRPr="000C25D7" w:rsidRDefault="00BF653D" w:rsidP="00BF653D">
            <w:pPr>
              <w:pStyle w:val="ListParagraph"/>
              <w:numPr>
                <w:ilvl w:val="0"/>
                <w:numId w:val="13"/>
              </w:numPr>
              <w:jc w:val="left"/>
              <w:rPr>
                <w:rFonts w:cstheme="minorHAnsi"/>
              </w:rPr>
            </w:pPr>
            <w:r w:rsidRPr="000C25D7">
              <w:rPr>
                <w:rFonts w:cstheme="minorHAnsi"/>
              </w:rPr>
              <w:t>Alcohol in moderation is unlikely to cause problems</w:t>
            </w:r>
          </w:p>
        </w:tc>
        <w:tc>
          <w:tcPr>
            <w:tcW w:w="2838" w:type="dxa"/>
            <w:shd w:val="clear" w:color="auto" w:fill="auto"/>
          </w:tcPr>
          <w:p w14:paraId="3DAADE57" w14:textId="77777777" w:rsidR="00BF653D" w:rsidRPr="00AA298E" w:rsidRDefault="00BF653D" w:rsidP="00BF653D">
            <w:pPr>
              <w:pStyle w:val="ListParagraph"/>
              <w:numPr>
                <w:ilvl w:val="0"/>
                <w:numId w:val="3"/>
              </w:numPr>
              <w:jc w:val="left"/>
              <w:rPr>
                <w:rFonts w:cstheme="minorHAnsi"/>
              </w:rPr>
            </w:pPr>
            <w:r w:rsidRPr="00AA298E">
              <w:rPr>
                <w:rFonts w:cstheme="minorHAnsi"/>
              </w:rPr>
              <w:t>Nausea</w:t>
            </w:r>
            <w:r>
              <w:rPr>
                <w:rFonts w:cstheme="minorHAnsi"/>
              </w:rPr>
              <w:t>/</w:t>
            </w:r>
            <w:r w:rsidRPr="00AA298E">
              <w:rPr>
                <w:rFonts w:cstheme="minorHAnsi"/>
              </w:rPr>
              <w:t>vomiting</w:t>
            </w:r>
          </w:p>
          <w:p w14:paraId="27DBB98A" w14:textId="77777777" w:rsidR="00BF653D" w:rsidRDefault="00BF653D" w:rsidP="00BF653D">
            <w:pPr>
              <w:pStyle w:val="ListParagraph"/>
              <w:numPr>
                <w:ilvl w:val="0"/>
                <w:numId w:val="3"/>
              </w:numPr>
              <w:jc w:val="left"/>
              <w:rPr>
                <w:rFonts w:cstheme="minorHAnsi"/>
              </w:rPr>
            </w:pPr>
            <w:r w:rsidRPr="00AA298E">
              <w:rPr>
                <w:rFonts w:cstheme="minorHAnsi"/>
              </w:rPr>
              <w:t>Diarrhoea</w:t>
            </w:r>
          </w:p>
          <w:p w14:paraId="7EE3C4F8" w14:textId="1221703E" w:rsidR="00BF653D" w:rsidRPr="000C25D7" w:rsidRDefault="00BF653D" w:rsidP="00BF653D">
            <w:pPr>
              <w:pStyle w:val="ListParagraph"/>
              <w:numPr>
                <w:ilvl w:val="0"/>
                <w:numId w:val="3"/>
              </w:numPr>
              <w:jc w:val="left"/>
              <w:rPr>
                <w:rFonts w:cstheme="minorHAnsi"/>
              </w:rPr>
            </w:pPr>
            <w:r w:rsidRPr="000C25D7">
              <w:rPr>
                <w:rFonts w:cstheme="minorHAnsi"/>
              </w:rPr>
              <w:t>Skin rash/allergy</w:t>
            </w:r>
          </w:p>
        </w:tc>
        <w:tc>
          <w:tcPr>
            <w:tcW w:w="3780" w:type="dxa"/>
            <w:shd w:val="clear" w:color="auto" w:fill="auto"/>
          </w:tcPr>
          <w:p w14:paraId="456F24FC" w14:textId="77777777" w:rsidR="00BF653D" w:rsidRDefault="00BF653D" w:rsidP="00BF653D">
            <w:pPr>
              <w:pStyle w:val="ListParagraph"/>
              <w:numPr>
                <w:ilvl w:val="0"/>
                <w:numId w:val="4"/>
              </w:numPr>
              <w:jc w:val="left"/>
              <w:rPr>
                <w:rFonts w:cstheme="minorHAnsi"/>
              </w:rPr>
            </w:pPr>
            <w:r w:rsidRPr="00AA298E">
              <w:rPr>
                <w:rFonts w:cstheme="minorHAnsi"/>
              </w:rPr>
              <w:t>Phenoxymethylpenicillin is predicted to increase the risk of toxicity when given with methotrexate.</w:t>
            </w:r>
          </w:p>
          <w:p w14:paraId="738C35FA" w14:textId="2D80E8C9" w:rsidR="00BF653D" w:rsidRPr="000C25D7" w:rsidRDefault="00BF653D" w:rsidP="00BF653D">
            <w:pPr>
              <w:pStyle w:val="ListParagraph"/>
              <w:numPr>
                <w:ilvl w:val="0"/>
                <w:numId w:val="4"/>
              </w:numPr>
              <w:jc w:val="left"/>
              <w:rPr>
                <w:rFonts w:cstheme="minorHAnsi"/>
              </w:rPr>
            </w:pPr>
            <w:r w:rsidRPr="000C25D7">
              <w:rPr>
                <w:rFonts w:cstheme="minorHAnsi"/>
              </w:rPr>
              <w:t>May affect INR in patients on warfarin.</w:t>
            </w:r>
          </w:p>
        </w:tc>
        <w:tc>
          <w:tcPr>
            <w:tcW w:w="3117" w:type="dxa"/>
            <w:shd w:val="clear" w:color="auto" w:fill="auto"/>
          </w:tcPr>
          <w:p w14:paraId="64FFA810" w14:textId="77777777" w:rsidR="00BF653D" w:rsidRPr="00B56E6B" w:rsidRDefault="00BF653D" w:rsidP="00BF653D">
            <w:pPr>
              <w:jc w:val="left"/>
              <w:rPr>
                <w:rFonts w:cstheme="minorHAnsi"/>
                <w:u w:val="single"/>
              </w:rPr>
            </w:pPr>
            <w:r w:rsidRPr="00B56E6B">
              <w:rPr>
                <w:rFonts w:cstheme="minorHAnsi"/>
                <w:u w:val="single"/>
              </w:rPr>
              <w:t>Pregnancy:</w:t>
            </w:r>
          </w:p>
          <w:p w14:paraId="3EDF627A" w14:textId="77777777" w:rsidR="00BF653D" w:rsidRDefault="00BF653D" w:rsidP="00BF653D">
            <w:pPr>
              <w:jc w:val="left"/>
              <w:rPr>
                <w:rFonts w:cstheme="minorHAnsi"/>
              </w:rPr>
            </w:pPr>
            <w:r>
              <w:rPr>
                <w:rFonts w:cstheme="minorHAnsi"/>
              </w:rPr>
              <w:t>Not known to be harmful</w:t>
            </w:r>
          </w:p>
          <w:p w14:paraId="1AD1B50B" w14:textId="77777777" w:rsidR="00BF653D" w:rsidRPr="00B56E6B" w:rsidRDefault="00BF653D" w:rsidP="00BF653D">
            <w:pPr>
              <w:jc w:val="left"/>
              <w:rPr>
                <w:rFonts w:cstheme="minorHAnsi"/>
                <w:u w:val="single"/>
              </w:rPr>
            </w:pPr>
            <w:r w:rsidRPr="00B56E6B">
              <w:rPr>
                <w:rFonts w:cstheme="minorHAnsi"/>
                <w:u w:val="single"/>
              </w:rPr>
              <w:t>Breastfeeding:</w:t>
            </w:r>
          </w:p>
          <w:p w14:paraId="7A1B2ED9" w14:textId="77777777" w:rsidR="00BF653D" w:rsidRDefault="00BF653D" w:rsidP="00BF653D">
            <w:pPr>
              <w:rPr>
                <w:b/>
                <w:bCs/>
                <w:i/>
                <w:iCs/>
                <w:u w:val="single"/>
              </w:rPr>
            </w:pPr>
            <w:r>
              <w:rPr>
                <w:rFonts w:cstheme="minorHAnsi"/>
              </w:rPr>
              <w:t>Trace amounts in milk but appropriate to use</w:t>
            </w:r>
          </w:p>
        </w:tc>
      </w:tr>
      <w:tr w:rsidR="00BF653D" w14:paraId="2D43C961" w14:textId="77777777" w:rsidTr="00026DB6">
        <w:tc>
          <w:tcPr>
            <w:tcW w:w="2552" w:type="dxa"/>
            <w:shd w:val="clear" w:color="auto" w:fill="F4DDC4"/>
          </w:tcPr>
          <w:p w14:paraId="7FBF2D49" w14:textId="77777777" w:rsidR="00BF653D" w:rsidRPr="00855AC5" w:rsidRDefault="00BF653D" w:rsidP="00794B3D">
            <w:pPr>
              <w:jc w:val="center"/>
              <w:rPr>
                <w:b/>
                <w:bCs/>
                <w:i/>
                <w:iCs/>
                <w:u w:val="single"/>
              </w:rPr>
            </w:pPr>
            <w:r w:rsidRPr="00855AC5">
              <w:rPr>
                <w:b/>
                <w:bCs/>
              </w:rPr>
              <w:t>Trimethoprim</w:t>
            </w:r>
          </w:p>
        </w:tc>
        <w:tc>
          <w:tcPr>
            <w:tcW w:w="3164" w:type="dxa"/>
            <w:shd w:val="clear" w:color="auto" w:fill="auto"/>
          </w:tcPr>
          <w:p w14:paraId="0BD6C9AA" w14:textId="77777777" w:rsidR="00BF653D" w:rsidRDefault="00BF653D" w:rsidP="00BF653D">
            <w:pPr>
              <w:pStyle w:val="ListParagraph"/>
              <w:numPr>
                <w:ilvl w:val="0"/>
                <w:numId w:val="14"/>
              </w:numPr>
              <w:jc w:val="left"/>
              <w:rPr>
                <w:rFonts w:cstheme="minorHAnsi"/>
              </w:rPr>
            </w:pPr>
            <w:r w:rsidRPr="000207A3">
              <w:rPr>
                <w:rFonts w:cstheme="minorHAnsi"/>
              </w:rPr>
              <w:t>Take with or without food</w:t>
            </w:r>
          </w:p>
          <w:p w14:paraId="03302295" w14:textId="56A8266B" w:rsidR="00BF653D" w:rsidRPr="000C25D7" w:rsidRDefault="00BF653D" w:rsidP="00BF653D">
            <w:pPr>
              <w:pStyle w:val="ListParagraph"/>
              <w:numPr>
                <w:ilvl w:val="0"/>
                <w:numId w:val="14"/>
              </w:numPr>
              <w:jc w:val="left"/>
              <w:rPr>
                <w:rFonts w:cstheme="minorHAnsi"/>
              </w:rPr>
            </w:pPr>
            <w:r w:rsidRPr="000C25D7">
              <w:rPr>
                <w:rFonts w:cstheme="minorHAnsi"/>
              </w:rPr>
              <w:t>Alcohol in moderation is unlikely to cause problems</w:t>
            </w:r>
          </w:p>
        </w:tc>
        <w:tc>
          <w:tcPr>
            <w:tcW w:w="2838" w:type="dxa"/>
            <w:shd w:val="clear" w:color="auto" w:fill="auto"/>
          </w:tcPr>
          <w:p w14:paraId="68AB53BE" w14:textId="77777777" w:rsidR="00BF653D" w:rsidRPr="00AA298E" w:rsidRDefault="00BF653D" w:rsidP="00BF653D">
            <w:pPr>
              <w:pStyle w:val="ListParagraph"/>
              <w:numPr>
                <w:ilvl w:val="0"/>
                <w:numId w:val="3"/>
              </w:numPr>
              <w:jc w:val="left"/>
              <w:rPr>
                <w:rFonts w:cstheme="minorHAnsi"/>
              </w:rPr>
            </w:pPr>
            <w:r w:rsidRPr="00AA298E">
              <w:rPr>
                <w:rFonts w:cstheme="minorHAnsi"/>
              </w:rPr>
              <w:t>Mild rash/itching</w:t>
            </w:r>
          </w:p>
          <w:p w14:paraId="0FB880E9" w14:textId="77777777" w:rsidR="00BF653D" w:rsidRPr="00AA298E" w:rsidRDefault="00BF653D" w:rsidP="00BF653D">
            <w:pPr>
              <w:pStyle w:val="ListParagraph"/>
              <w:numPr>
                <w:ilvl w:val="0"/>
                <w:numId w:val="3"/>
              </w:numPr>
              <w:jc w:val="left"/>
              <w:rPr>
                <w:rFonts w:cstheme="minorHAnsi"/>
              </w:rPr>
            </w:pPr>
            <w:r w:rsidRPr="00AA298E">
              <w:rPr>
                <w:rFonts w:cstheme="minorHAnsi"/>
              </w:rPr>
              <w:t>Nausea</w:t>
            </w:r>
            <w:r>
              <w:rPr>
                <w:rFonts w:cstheme="minorHAnsi"/>
              </w:rPr>
              <w:t>/</w:t>
            </w:r>
            <w:r w:rsidRPr="00AA298E">
              <w:rPr>
                <w:rFonts w:cstheme="minorHAnsi"/>
              </w:rPr>
              <w:t xml:space="preserve">vomiting </w:t>
            </w:r>
          </w:p>
          <w:p w14:paraId="39962D5B" w14:textId="77777777" w:rsidR="00BF653D" w:rsidRDefault="00BF653D" w:rsidP="00BF653D">
            <w:pPr>
              <w:pStyle w:val="ListParagraph"/>
              <w:numPr>
                <w:ilvl w:val="0"/>
                <w:numId w:val="3"/>
              </w:numPr>
              <w:jc w:val="left"/>
              <w:rPr>
                <w:rFonts w:cstheme="minorHAnsi"/>
              </w:rPr>
            </w:pPr>
            <w:r w:rsidRPr="00AA298E">
              <w:rPr>
                <w:rFonts w:cstheme="minorHAnsi"/>
              </w:rPr>
              <w:t>Diarrhoea</w:t>
            </w:r>
          </w:p>
          <w:p w14:paraId="1DD4BE6A" w14:textId="0050DF61" w:rsidR="00BF653D" w:rsidRPr="000C25D7" w:rsidRDefault="00BF653D" w:rsidP="00BF653D">
            <w:pPr>
              <w:pStyle w:val="ListParagraph"/>
              <w:numPr>
                <w:ilvl w:val="0"/>
                <w:numId w:val="3"/>
              </w:numPr>
              <w:jc w:val="left"/>
              <w:rPr>
                <w:rFonts w:cstheme="minorHAnsi"/>
              </w:rPr>
            </w:pPr>
            <w:r w:rsidRPr="000C25D7">
              <w:rPr>
                <w:rFonts w:cstheme="minorHAnsi"/>
              </w:rPr>
              <w:t>Headaches</w:t>
            </w:r>
          </w:p>
        </w:tc>
        <w:tc>
          <w:tcPr>
            <w:tcW w:w="3780" w:type="dxa"/>
            <w:shd w:val="clear" w:color="auto" w:fill="auto"/>
          </w:tcPr>
          <w:p w14:paraId="0599B46A" w14:textId="77777777" w:rsidR="00BF653D" w:rsidRPr="00AA298E" w:rsidRDefault="00BF653D" w:rsidP="00BF653D">
            <w:pPr>
              <w:pStyle w:val="ListParagraph"/>
              <w:numPr>
                <w:ilvl w:val="0"/>
                <w:numId w:val="4"/>
              </w:numPr>
              <w:jc w:val="left"/>
              <w:rPr>
                <w:rFonts w:cstheme="minorHAnsi"/>
              </w:rPr>
            </w:pPr>
            <w:r w:rsidRPr="00AA298E">
              <w:rPr>
                <w:rFonts w:cstheme="minorHAnsi"/>
              </w:rPr>
              <w:t xml:space="preserve">Trimethoprim </w:t>
            </w:r>
            <w:r>
              <w:rPr>
                <w:rFonts w:cstheme="minorHAnsi"/>
              </w:rPr>
              <w:t>should be avoided in patients who take</w:t>
            </w:r>
            <w:r w:rsidRPr="00AA298E">
              <w:rPr>
                <w:rFonts w:cstheme="minorHAnsi"/>
              </w:rPr>
              <w:t xml:space="preserve"> methotrexate</w:t>
            </w:r>
            <w:r>
              <w:rPr>
                <w:rFonts w:cstheme="minorHAnsi"/>
              </w:rPr>
              <w:t xml:space="preserve"> – contact prescriber for an alternative</w:t>
            </w:r>
            <w:r w:rsidRPr="00AA298E">
              <w:rPr>
                <w:rFonts w:cstheme="minorHAnsi"/>
              </w:rPr>
              <w:t>.</w:t>
            </w:r>
          </w:p>
          <w:p w14:paraId="413A41FE" w14:textId="77777777" w:rsidR="00BF653D" w:rsidRDefault="00BF653D" w:rsidP="00BF653D">
            <w:pPr>
              <w:pStyle w:val="ListParagraph"/>
              <w:numPr>
                <w:ilvl w:val="0"/>
                <w:numId w:val="4"/>
              </w:numPr>
              <w:jc w:val="left"/>
              <w:rPr>
                <w:rFonts w:cstheme="minorHAnsi"/>
              </w:rPr>
            </w:pPr>
            <w:r w:rsidRPr="00AA298E">
              <w:rPr>
                <w:rFonts w:cstheme="minorHAnsi"/>
              </w:rPr>
              <w:t>May affect INR in patients on warfarin.</w:t>
            </w:r>
          </w:p>
          <w:p w14:paraId="5E47EA16" w14:textId="784D1C0E" w:rsidR="00BF653D" w:rsidRPr="000C25D7" w:rsidRDefault="00BF653D" w:rsidP="00BF653D">
            <w:pPr>
              <w:pStyle w:val="ListParagraph"/>
              <w:numPr>
                <w:ilvl w:val="0"/>
                <w:numId w:val="4"/>
              </w:numPr>
              <w:jc w:val="left"/>
              <w:rPr>
                <w:rFonts w:cstheme="minorHAnsi"/>
              </w:rPr>
            </w:pPr>
            <w:r w:rsidRPr="000C25D7">
              <w:rPr>
                <w:rFonts w:cstheme="minorHAnsi"/>
              </w:rPr>
              <w:t>Counsel patients re signs and symptoms of blood disorders if for long-term use</w:t>
            </w:r>
          </w:p>
        </w:tc>
        <w:tc>
          <w:tcPr>
            <w:tcW w:w="3117" w:type="dxa"/>
            <w:shd w:val="clear" w:color="auto" w:fill="auto"/>
          </w:tcPr>
          <w:p w14:paraId="07EC49B4" w14:textId="77777777" w:rsidR="00BF653D" w:rsidRPr="00485FF1" w:rsidRDefault="00BF653D" w:rsidP="00BF653D">
            <w:pPr>
              <w:jc w:val="left"/>
              <w:rPr>
                <w:rFonts w:cstheme="minorHAnsi"/>
                <w:u w:val="single"/>
              </w:rPr>
            </w:pPr>
            <w:r w:rsidRPr="00485FF1">
              <w:rPr>
                <w:rFonts w:cstheme="minorHAnsi"/>
                <w:u w:val="single"/>
              </w:rPr>
              <w:t>Pregnancy:</w:t>
            </w:r>
          </w:p>
          <w:p w14:paraId="0ED42D99" w14:textId="77777777" w:rsidR="00BF653D" w:rsidRDefault="00BF653D" w:rsidP="00BF653D">
            <w:pPr>
              <w:jc w:val="left"/>
              <w:rPr>
                <w:rFonts w:cstheme="minorHAnsi"/>
              </w:rPr>
            </w:pPr>
            <w:r>
              <w:rPr>
                <w:rFonts w:cstheme="minorHAnsi"/>
              </w:rPr>
              <w:t>Avoid especially in 1</w:t>
            </w:r>
            <w:r w:rsidRPr="007A4F5E">
              <w:rPr>
                <w:rFonts w:cstheme="minorHAnsi"/>
                <w:vertAlign w:val="superscript"/>
              </w:rPr>
              <w:t>st</w:t>
            </w:r>
            <w:r>
              <w:rPr>
                <w:rFonts w:cstheme="minorHAnsi"/>
              </w:rPr>
              <w:t xml:space="preserve"> trimester.</w:t>
            </w:r>
          </w:p>
          <w:p w14:paraId="7CE60AB0" w14:textId="77777777" w:rsidR="00BF653D" w:rsidRPr="00485FF1" w:rsidRDefault="00BF653D" w:rsidP="00BF653D">
            <w:pPr>
              <w:jc w:val="left"/>
              <w:rPr>
                <w:rFonts w:cstheme="minorHAnsi"/>
                <w:u w:val="single"/>
              </w:rPr>
            </w:pPr>
            <w:r w:rsidRPr="00485FF1">
              <w:rPr>
                <w:rFonts w:cstheme="minorHAnsi"/>
                <w:u w:val="single"/>
              </w:rPr>
              <w:t>Breastfeeding:</w:t>
            </w:r>
          </w:p>
          <w:p w14:paraId="2035066A" w14:textId="77777777" w:rsidR="00BF653D" w:rsidRDefault="00BF653D" w:rsidP="00BF653D">
            <w:pPr>
              <w:rPr>
                <w:b/>
                <w:bCs/>
                <w:i/>
                <w:iCs/>
                <w:u w:val="single"/>
              </w:rPr>
            </w:pPr>
            <w:r>
              <w:rPr>
                <w:rFonts w:cstheme="minorHAnsi"/>
              </w:rPr>
              <w:t>Not known to be harmful in short term use</w:t>
            </w:r>
          </w:p>
        </w:tc>
      </w:tr>
    </w:tbl>
    <w:p w14:paraId="17789390" w14:textId="77777777" w:rsidR="00AE1FBC" w:rsidRDefault="00AE1FBC" w:rsidP="000C25D7">
      <w:pPr>
        <w:sectPr w:rsidR="00AE1FBC" w:rsidSect="000C25D7">
          <w:pgSz w:w="16838" w:h="11906" w:orient="landscape"/>
          <w:pgMar w:top="1560" w:right="1440" w:bottom="993" w:left="1276" w:header="708" w:footer="708" w:gutter="0"/>
          <w:cols w:space="708"/>
          <w:docGrid w:linePitch="360"/>
        </w:sectPr>
      </w:pPr>
    </w:p>
    <w:tbl>
      <w:tblPr>
        <w:tblStyle w:val="TableGrid"/>
        <w:tblW w:w="15451" w:type="dxa"/>
        <w:tblInd w:w="-714" w:type="dxa"/>
        <w:tblLook w:val="04A0" w:firstRow="1" w:lastRow="0" w:firstColumn="1" w:lastColumn="0" w:noHBand="0" w:noVBand="1"/>
      </w:tblPr>
      <w:tblGrid>
        <w:gridCol w:w="2552"/>
        <w:gridCol w:w="3119"/>
        <w:gridCol w:w="2850"/>
        <w:gridCol w:w="3780"/>
        <w:gridCol w:w="3150"/>
      </w:tblGrid>
      <w:tr w:rsidR="00AE1FBC" w14:paraId="5C3D4804" w14:textId="77777777" w:rsidTr="00026DB6">
        <w:tc>
          <w:tcPr>
            <w:tcW w:w="2552" w:type="dxa"/>
            <w:shd w:val="clear" w:color="auto" w:fill="F4DDC4"/>
          </w:tcPr>
          <w:p w14:paraId="0A96E89B" w14:textId="77777777" w:rsidR="00855AC5" w:rsidRPr="00855AC5" w:rsidRDefault="00855AC5" w:rsidP="00BA70EA">
            <w:pPr>
              <w:jc w:val="center"/>
              <w:rPr>
                <w:b/>
                <w:bCs/>
              </w:rPr>
            </w:pPr>
          </w:p>
          <w:p w14:paraId="416074DE" w14:textId="0AEB93EF" w:rsidR="00AE1FBC" w:rsidRPr="00855AC5" w:rsidRDefault="00AE1FBC" w:rsidP="00BA70EA">
            <w:pPr>
              <w:jc w:val="center"/>
              <w:rPr>
                <w:b/>
                <w:bCs/>
              </w:rPr>
            </w:pPr>
            <w:r w:rsidRPr="00855AC5">
              <w:rPr>
                <w:b/>
                <w:bCs/>
              </w:rPr>
              <w:t>Antibiotic</w:t>
            </w:r>
          </w:p>
        </w:tc>
        <w:tc>
          <w:tcPr>
            <w:tcW w:w="3119" w:type="dxa"/>
            <w:shd w:val="clear" w:color="auto" w:fill="F4DDC4"/>
          </w:tcPr>
          <w:p w14:paraId="1F974145" w14:textId="77777777" w:rsidR="00855AC5" w:rsidRPr="00855AC5" w:rsidRDefault="00855AC5" w:rsidP="00AE1FBC">
            <w:pPr>
              <w:pStyle w:val="ListParagraph"/>
              <w:jc w:val="left"/>
              <w:rPr>
                <w:b/>
                <w:bCs/>
              </w:rPr>
            </w:pPr>
          </w:p>
          <w:p w14:paraId="2C704E1A" w14:textId="5A663F4D" w:rsidR="00AE1FBC" w:rsidRPr="00855AC5" w:rsidRDefault="00AE1FBC" w:rsidP="00AE1FBC">
            <w:pPr>
              <w:pStyle w:val="ListParagraph"/>
              <w:jc w:val="left"/>
              <w:rPr>
                <w:rFonts w:cstheme="minorHAnsi"/>
                <w:b/>
                <w:bCs/>
              </w:rPr>
            </w:pPr>
            <w:r w:rsidRPr="00855AC5">
              <w:rPr>
                <w:b/>
                <w:bCs/>
              </w:rPr>
              <w:t>How to take</w:t>
            </w:r>
          </w:p>
        </w:tc>
        <w:tc>
          <w:tcPr>
            <w:tcW w:w="2850" w:type="dxa"/>
            <w:shd w:val="clear" w:color="auto" w:fill="F4DDC4"/>
          </w:tcPr>
          <w:p w14:paraId="57B81A47" w14:textId="77777777" w:rsidR="00855AC5" w:rsidRPr="00855AC5" w:rsidRDefault="00855AC5" w:rsidP="00AE1FBC">
            <w:pPr>
              <w:pStyle w:val="ListParagraph"/>
              <w:ind w:left="502"/>
              <w:jc w:val="left"/>
              <w:rPr>
                <w:b/>
                <w:bCs/>
              </w:rPr>
            </w:pPr>
          </w:p>
          <w:p w14:paraId="6B711309" w14:textId="08AFB4CF" w:rsidR="00AE1FBC" w:rsidRPr="00855AC5" w:rsidRDefault="00AE1FBC" w:rsidP="00AE1FBC">
            <w:pPr>
              <w:pStyle w:val="ListParagraph"/>
              <w:ind w:left="502"/>
              <w:jc w:val="left"/>
              <w:rPr>
                <w:rFonts w:cstheme="minorHAnsi"/>
                <w:b/>
                <w:bCs/>
              </w:rPr>
            </w:pPr>
            <w:r w:rsidRPr="00855AC5">
              <w:rPr>
                <w:b/>
                <w:bCs/>
              </w:rPr>
              <w:t>Common Side Effects</w:t>
            </w:r>
          </w:p>
        </w:tc>
        <w:tc>
          <w:tcPr>
            <w:tcW w:w="3780" w:type="dxa"/>
            <w:shd w:val="clear" w:color="auto" w:fill="F4DDC4"/>
          </w:tcPr>
          <w:p w14:paraId="1FD48D35" w14:textId="77777777" w:rsidR="00855AC5" w:rsidRPr="00855AC5" w:rsidRDefault="00855AC5" w:rsidP="00AE1FBC">
            <w:pPr>
              <w:pStyle w:val="ListParagraph"/>
              <w:ind w:left="502"/>
              <w:jc w:val="left"/>
              <w:rPr>
                <w:b/>
                <w:bCs/>
              </w:rPr>
            </w:pPr>
          </w:p>
          <w:p w14:paraId="6BF42712" w14:textId="4CD4EEA8" w:rsidR="00AE1FBC" w:rsidRPr="00855AC5" w:rsidRDefault="00AE1FBC" w:rsidP="00AE1FBC">
            <w:pPr>
              <w:pStyle w:val="ListParagraph"/>
              <w:ind w:left="502"/>
              <w:jc w:val="left"/>
              <w:rPr>
                <w:rFonts w:cstheme="minorHAnsi"/>
                <w:b/>
                <w:bCs/>
              </w:rPr>
            </w:pPr>
            <w:r w:rsidRPr="00855AC5">
              <w:rPr>
                <w:b/>
                <w:bCs/>
              </w:rPr>
              <w:t>Cautions/Major Interactions*</w:t>
            </w:r>
          </w:p>
        </w:tc>
        <w:tc>
          <w:tcPr>
            <w:tcW w:w="3150" w:type="dxa"/>
            <w:shd w:val="clear" w:color="auto" w:fill="F4DDC4"/>
          </w:tcPr>
          <w:p w14:paraId="21326721" w14:textId="77777777" w:rsidR="00855AC5" w:rsidRPr="00855AC5" w:rsidRDefault="00855AC5" w:rsidP="00AE1FBC">
            <w:pPr>
              <w:jc w:val="left"/>
              <w:rPr>
                <w:b/>
                <w:bCs/>
              </w:rPr>
            </w:pPr>
          </w:p>
          <w:p w14:paraId="108BBF79" w14:textId="3839EC7E" w:rsidR="00AE1FBC" w:rsidRPr="00855AC5" w:rsidRDefault="00AE1FBC" w:rsidP="00AE1FBC">
            <w:pPr>
              <w:jc w:val="left"/>
              <w:rPr>
                <w:rFonts w:cstheme="minorHAnsi"/>
                <w:b/>
                <w:bCs/>
                <w:u w:val="single"/>
              </w:rPr>
            </w:pPr>
            <w:r w:rsidRPr="00855AC5">
              <w:rPr>
                <w:b/>
                <w:bCs/>
              </w:rPr>
              <w:t>Pregnancy and Breastfeeding</w:t>
            </w:r>
          </w:p>
        </w:tc>
      </w:tr>
      <w:tr w:rsidR="00BF653D" w14:paraId="1BE142A8" w14:textId="77777777" w:rsidTr="00026DB6">
        <w:tc>
          <w:tcPr>
            <w:tcW w:w="2552" w:type="dxa"/>
            <w:shd w:val="clear" w:color="auto" w:fill="F4DDC4"/>
          </w:tcPr>
          <w:p w14:paraId="07C1B131" w14:textId="7CE98F6A" w:rsidR="00BF653D" w:rsidRPr="00C77620" w:rsidRDefault="00BF653D" w:rsidP="00794B3D">
            <w:pPr>
              <w:jc w:val="center"/>
              <w:rPr>
                <w:b/>
                <w:bCs/>
                <w:i/>
                <w:iCs/>
                <w:u w:val="single"/>
              </w:rPr>
            </w:pPr>
            <w:r w:rsidRPr="00794B3D">
              <w:rPr>
                <w:b/>
              </w:rPr>
              <w:t>Quinolones (Ciprofloxacin and Levofloxacin)</w:t>
            </w:r>
          </w:p>
        </w:tc>
        <w:tc>
          <w:tcPr>
            <w:tcW w:w="3119" w:type="dxa"/>
            <w:shd w:val="clear" w:color="auto" w:fill="auto"/>
          </w:tcPr>
          <w:p w14:paraId="2CB748EB" w14:textId="77777777" w:rsidR="00BF653D" w:rsidRDefault="00BF653D" w:rsidP="00BF653D">
            <w:pPr>
              <w:pStyle w:val="ListParagraph"/>
              <w:numPr>
                <w:ilvl w:val="0"/>
                <w:numId w:val="15"/>
              </w:numPr>
              <w:jc w:val="left"/>
              <w:rPr>
                <w:rFonts w:cstheme="minorHAnsi"/>
              </w:rPr>
            </w:pPr>
            <w:r w:rsidRPr="000207A3">
              <w:rPr>
                <w:rFonts w:cstheme="minorHAnsi"/>
              </w:rPr>
              <w:t>Take with or without food but do not take with dairy products (e.g. milk, yoghurt) or mineral-fortified fruit-juice.</w:t>
            </w:r>
          </w:p>
          <w:p w14:paraId="0E7527FB" w14:textId="77777777" w:rsidR="00BF653D" w:rsidRDefault="00BF653D" w:rsidP="00BF653D">
            <w:pPr>
              <w:pStyle w:val="ListParagraph"/>
              <w:numPr>
                <w:ilvl w:val="0"/>
                <w:numId w:val="15"/>
              </w:numPr>
              <w:jc w:val="left"/>
              <w:rPr>
                <w:rFonts w:cstheme="minorHAnsi"/>
              </w:rPr>
            </w:pPr>
            <w:r w:rsidRPr="000207A3">
              <w:rPr>
                <w:rFonts w:cstheme="minorHAnsi"/>
              </w:rPr>
              <w:t>Avoid antacids 2 hours before and 4 hours after taking.</w:t>
            </w:r>
          </w:p>
          <w:p w14:paraId="3F8B7C09" w14:textId="77777777" w:rsidR="00BF653D" w:rsidRPr="000C25D7" w:rsidRDefault="00BF653D" w:rsidP="00BF653D">
            <w:pPr>
              <w:pStyle w:val="ListParagraph"/>
              <w:numPr>
                <w:ilvl w:val="0"/>
                <w:numId w:val="15"/>
              </w:numPr>
              <w:jc w:val="left"/>
              <w:rPr>
                <w:rFonts w:cstheme="minorHAnsi"/>
              </w:rPr>
            </w:pPr>
            <w:r w:rsidRPr="000C25D7">
              <w:rPr>
                <w:rFonts w:cstheme="minorHAnsi"/>
              </w:rPr>
              <w:t>May impair performance of skilled tasks (e.g. driving); effects enhanced by alcohol.</w:t>
            </w:r>
          </w:p>
        </w:tc>
        <w:tc>
          <w:tcPr>
            <w:tcW w:w="2850" w:type="dxa"/>
            <w:shd w:val="clear" w:color="auto" w:fill="auto"/>
          </w:tcPr>
          <w:p w14:paraId="6522336B" w14:textId="77777777" w:rsidR="00BF653D" w:rsidRDefault="00BF653D" w:rsidP="00BF653D">
            <w:pPr>
              <w:pStyle w:val="ListParagraph"/>
              <w:numPr>
                <w:ilvl w:val="0"/>
                <w:numId w:val="3"/>
              </w:numPr>
              <w:jc w:val="left"/>
              <w:rPr>
                <w:rFonts w:cstheme="minorHAnsi"/>
              </w:rPr>
            </w:pPr>
            <w:r>
              <w:rPr>
                <w:rFonts w:cstheme="minorHAnsi"/>
              </w:rPr>
              <w:t>Nausea/vomiting</w:t>
            </w:r>
          </w:p>
          <w:p w14:paraId="6C1B7B04" w14:textId="77777777" w:rsidR="00BF653D" w:rsidRDefault="00BF653D" w:rsidP="00BF653D">
            <w:pPr>
              <w:pStyle w:val="ListParagraph"/>
              <w:numPr>
                <w:ilvl w:val="0"/>
                <w:numId w:val="3"/>
              </w:numPr>
              <w:jc w:val="left"/>
              <w:rPr>
                <w:rFonts w:cstheme="minorHAnsi"/>
              </w:rPr>
            </w:pPr>
            <w:r>
              <w:rPr>
                <w:rFonts w:cstheme="minorHAnsi"/>
              </w:rPr>
              <w:t>Diarrhoea</w:t>
            </w:r>
          </w:p>
          <w:p w14:paraId="754B3EE9" w14:textId="77777777" w:rsidR="00BF653D" w:rsidRDefault="00BF653D" w:rsidP="00BF653D">
            <w:pPr>
              <w:pStyle w:val="ListParagraph"/>
              <w:numPr>
                <w:ilvl w:val="0"/>
                <w:numId w:val="3"/>
              </w:numPr>
              <w:jc w:val="left"/>
              <w:rPr>
                <w:rFonts w:cstheme="minorHAnsi"/>
              </w:rPr>
            </w:pPr>
            <w:r>
              <w:rPr>
                <w:rFonts w:cstheme="minorHAnsi"/>
              </w:rPr>
              <w:t>Tendon damage</w:t>
            </w:r>
          </w:p>
          <w:p w14:paraId="62B97797" w14:textId="77777777" w:rsidR="00BF653D" w:rsidRDefault="00BF653D" w:rsidP="00BF653D">
            <w:pPr>
              <w:pStyle w:val="ListParagraph"/>
              <w:numPr>
                <w:ilvl w:val="0"/>
                <w:numId w:val="3"/>
              </w:numPr>
              <w:jc w:val="left"/>
              <w:rPr>
                <w:rFonts w:cstheme="minorHAnsi"/>
              </w:rPr>
            </w:pPr>
            <w:r>
              <w:rPr>
                <w:rFonts w:cstheme="minorHAnsi"/>
              </w:rPr>
              <w:t>Headaches</w:t>
            </w:r>
          </w:p>
          <w:p w14:paraId="002DBAF2" w14:textId="77777777" w:rsidR="00BF653D" w:rsidRPr="000C25D7" w:rsidRDefault="00BF653D" w:rsidP="00BF653D">
            <w:pPr>
              <w:pStyle w:val="ListParagraph"/>
              <w:numPr>
                <w:ilvl w:val="0"/>
                <w:numId w:val="3"/>
              </w:numPr>
              <w:jc w:val="left"/>
              <w:rPr>
                <w:rFonts w:cstheme="minorHAnsi"/>
              </w:rPr>
            </w:pPr>
            <w:r w:rsidRPr="000C25D7">
              <w:rPr>
                <w:rFonts w:cstheme="minorHAnsi"/>
              </w:rPr>
              <w:t>Dizziness</w:t>
            </w:r>
          </w:p>
        </w:tc>
        <w:tc>
          <w:tcPr>
            <w:tcW w:w="3780" w:type="dxa"/>
            <w:shd w:val="clear" w:color="auto" w:fill="auto"/>
          </w:tcPr>
          <w:p w14:paraId="75697648" w14:textId="77777777" w:rsidR="00BF653D" w:rsidRDefault="00BF653D" w:rsidP="00BF653D">
            <w:pPr>
              <w:pStyle w:val="ListParagraph"/>
              <w:numPr>
                <w:ilvl w:val="0"/>
                <w:numId w:val="4"/>
              </w:numPr>
              <w:jc w:val="left"/>
              <w:rPr>
                <w:rFonts w:cstheme="minorHAnsi"/>
              </w:rPr>
            </w:pPr>
            <w:r>
              <w:rPr>
                <w:rFonts w:cstheme="minorHAnsi"/>
              </w:rPr>
              <w:t>Avoid in patients with epilepsy</w:t>
            </w:r>
          </w:p>
          <w:p w14:paraId="69EB93FA" w14:textId="77777777" w:rsidR="00BF653D" w:rsidRDefault="00BF653D" w:rsidP="00BF653D">
            <w:pPr>
              <w:pStyle w:val="ListParagraph"/>
              <w:numPr>
                <w:ilvl w:val="0"/>
                <w:numId w:val="4"/>
              </w:numPr>
              <w:jc w:val="left"/>
              <w:rPr>
                <w:rFonts w:cstheme="minorHAnsi"/>
              </w:rPr>
            </w:pPr>
            <w:r>
              <w:rPr>
                <w:rFonts w:cstheme="minorHAnsi"/>
              </w:rPr>
              <w:t>Avoid in patients with a history of tendon damage</w:t>
            </w:r>
          </w:p>
          <w:p w14:paraId="0D98D4BC" w14:textId="77777777" w:rsidR="00BF653D" w:rsidRDefault="00BF653D" w:rsidP="00BF653D">
            <w:pPr>
              <w:pStyle w:val="ListParagraph"/>
              <w:numPr>
                <w:ilvl w:val="0"/>
                <w:numId w:val="4"/>
              </w:numPr>
              <w:jc w:val="left"/>
              <w:rPr>
                <w:rFonts w:cstheme="minorHAnsi"/>
              </w:rPr>
            </w:pPr>
            <w:r>
              <w:rPr>
                <w:rFonts w:cstheme="minorHAnsi"/>
              </w:rPr>
              <w:t>Caution in patients pre-disposed to QT prolongation/arrythmias.</w:t>
            </w:r>
          </w:p>
          <w:p w14:paraId="3B25EDE3" w14:textId="77777777" w:rsidR="00BF653D" w:rsidRDefault="00BF653D" w:rsidP="00BF653D">
            <w:pPr>
              <w:pStyle w:val="ListParagraph"/>
              <w:numPr>
                <w:ilvl w:val="0"/>
                <w:numId w:val="4"/>
              </w:numPr>
              <w:jc w:val="left"/>
              <w:rPr>
                <w:rFonts w:cstheme="minorHAnsi"/>
              </w:rPr>
            </w:pPr>
            <w:r>
              <w:rPr>
                <w:rFonts w:cstheme="minorHAnsi"/>
              </w:rPr>
              <w:t xml:space="preserve">Avoid concomitant use of NSAIDs – risk of seizures increases. </w:t>
            </w:r>
          </w:p>
          <w:p w14:paraId="39240325" w14:textId="77777777" w:rsidR="00BF653D" w:rsidRDefault="00BF653D" w:rsidP="00BF653D">
            <w:pPr>
              <w:pStyle w:val="ListParagraph"/>
              <w:numPr>
                <w:ilvl w:val="0"/>
                <w:numId w:val="4"/>
              </w:numPr>
              <w:jc w:val="left"/>
              <w:rPr>
                <w:rFonts w:cstheme="minorHAnsi"/>
              </w:rPr>
            </w:pPr>
            <w:r>
              <w:rPr>
                <w:rFonts w:cstheme="minorHAnsi"/>
              </w:rPr>
              <w:t>Avoid exposure to excessive sunlight during treatment and for 48 hours after stopping treatment</w:t>
            </w:r>
          </w:p>
          <w:p w14:paraId="35996893" w14:textId="77777777" w:rsidR="00BF653D" w:rsidRDefault="00BF653D" w:rsidP="00BF653D">
            <w:pPr>
              <w:pStyle w:val="ListParagraph"/>
              <w:numPr>
                <w:ilvl w:val="0"/>
                <w:numId w:val="4"/>
              </w:numPr>
              <w:jc w:val="left"/>
              <w:rPr>
                <w:rFonts w:cstheme="minorHAnsi"/>
              </w:rPr>
            </w:pPr>
            <w:r>
              <w:rPr>
                <w:rFonts w:cstheme="minorHAnsi"/>
              </w:rPr>
              <w:t>Increased risk of methotrexate toxicity</w:t>
            </w:r>
          </w:p>
          <w:p w14:paraId="594DA9D7" w14:textId="77777777" w:rsidR="00BF653D" w:rsidRPr="000C25D7" w:rsidRDefault="00BF653D" w:rsidP="00BF653D">
            <w:pPr>
              <w:pStyle w:val="ListParagraph"/>
              <w:numPr>
                <w:ilvl w:val="0"/>
                <w:numId w:val="4"/>
              </w:numPr>
              <w:jc w:val="left"/>
              <w:rPr>
                <w:rFonts w:cstheme="minorHAnsi"/>
              </w:rPr>
            </w:pPr>
            <w:r w:rsidRPr="000C25D7">
              <w:rPr>
                <w:rFonts w:cstheme="minorHAnsi"/>
              </w:rPr>
              <w:t>May affect INR in patients on warfarin</w:t>
            </w:r>
          </w:p>
        </w:tc>
        <w:tc>
          <w:tcPr>
            <w:tcW w:w="3150" w:type="dxa"/>
            <w:shd w:val="clear" w:color="auto" w:fill="auto"/>
          </w:tcPr>
          <w:p w14:paraId="1379802A" w14:textId="77777777" w:rsidR="00BF653D" w:rsidRPr="00356067" w:rsidRDefault="00BF653D" w:rsidP="00BF653D">
            <w:pPr>
              <w:jc w:val="left"/>
              <w:rPr>
                <w:rFonts w:cstheme="minorHAnsi"/>
                <w:u w:val="single"/>
              </w:rPr>
            </w:pPr>
            <w:r w:rsidRPr="00356067">
              <w:rPr>
                <w:rFonts w:cstheme="minorHAnsi"/>
                <w:u w:val="single"/>
              </w:rPr>
              <w:t>Pregnancy:</w:t>
            </w:r>
          </w:p>
          <w:p w14:paraId="373683AE" w14:textId="77777777" w:rsidR="00BF653D" w:rsidRDefault="00BF653D" w:rsidP="00BF653D">
            <w:pPr>
              <w:jc w:val="left"/>
              <w:rPr>
                <w:rFonts w:cstheme="minorHAnsi"/>
              </w:rPr>
            </w:pPr>
            <w:r>
              <w:rPr>
                <w:rFonts w:cstheme="minorHAnsi"/>
              </w:rPr>
              <w:t>Manufacturer advises to avoid.</w:t>
            </w:r>
          </w:p>
          <w:p w14:paraId="41667B6F" w14:textId="77777777" w:rsidR="00BF653D" w:rsidRPr="00356067" w:rsidRDefault="00BF653D" w:rsidP="00BF653D">
            <w:pPr>
              <w:jc w:val="left"/>
              <w:rPr>
                <w:rFonts w:cstheme="minorHAnsi"/>
                <w:u w:val="single"/>
              </w:rPr>
            </w:pPr>
            <w:r w:rsidRPr="00356067">
              <w:rPr>
                <w:rFonts w:cstheme="minorHAnsi"/>
                <w:u w:val="single"/>
              </w:rPr>
              <w:t>Breastfeeding:</w:t>
            </w:r>
          </w:p>
          <w:p w14:paraId="139A2745" w14:textId="77777777" w:rsidR="00BF653D" w:rsidRDefault="00BF653D" w:rsidP="00BF653D">
            <w:pPr>
              <w:rPr>
                <w:b/>
                <w:bCs/>
                <w:i/>
                <w:iCs/>
                <w:u w:val="single"/>
              </w:rPr>
            </w:pPr>
            <w:r>
              <w:rPr>
                <w:rFonts w:cstheme="minorHAnsi"/>
              </w:rPr>
              <w:t>Manufacturer advises to avoid.</w:t>
            </w:r>
          </w:p>
        </w:tc>
      </w:tr>
      <w:tr w:rsidR="00BF653D" w14:paraId="6DCF05FB" w14:textId="77777777" w:rsidTr="00026DB6">
        <w:tc>
          <w:tcPr>
            <w:tcW w:w="2552" w:type="dxa"/>
            <w:shd w:val="clear" w:color="auto" w:fill="F4DDC4"/>
          </w:tcPr>
          <w:p w14:paraId="2BC6F08A" w14:textId="77777777" w:rsidR="00BF653D" w:rsidRPr="00C77620" w:rsidRDefault="00BF653D" w:rsidP="00794B3D">
            <w:pPr>
              <w:jc w:val="center"/>
              <w:rPr>
                <w:b/>
                <w:bCs/>
              </w:rPr>
            </w:pPr>
            <w:r w:rsidRPr="00794B3D">
              <w:rPr>
                <w:b/>
              </w:rPr>
              <w:t>Co-trimoxazole</w:t>
            </w:r>
          </w:p>
          <w:p w14:paraId="0A0698E1" w14:textId="77777777" w:rsidR="00BF653D" w:rsidRPr="00C77620" w:rsidRDefault="00BF653D" w:rsidP="00794B3D">
            <w:pPr>
              <w:jc w:val="center"/>
              <w:rPr>
                <w:b/>
                <w:bCs/>
                <w:i/>
                <w:iCs/>
                <w:u w:val="single"/>
              </w:rPr>
            </w:pPr>
            <w:r w:rsidRPr="00794B3D">
              <w:rPr>
                <w:b/>
              </w:rPr>
              <w:t>(Trimethoprim and Sulfamethoxazole)</w:t>
            </w:r>
          </w:p>
        </w:tc>
        <w:tc>
          <w:tcPr>
            <w:tcW w:w="3119" w:type="dxa"/>
            <w:shd w:val="clear" w:color="auto" w:fill="auto"/>
          </w:tcPr>
          <w:p w14:paraId="3A23B2CD" w14:textId="77777777" w:rsidR="00BF653D" w:rsidRPr="000207A3" w:rsidRDefault="00BF653D" w:rsidP="00BF653D">
            <w:pPr>
              <w:pStyle w:val="ListParagraph"/>
              <w:numPr>
                <w:ilvl w:val="0"/>
                <w:numId w:val="16"/>
              </w:numPr>
              <w:jc w:val="left"/>
              <w:rPr>
                <w:rFonts w:cstheme="minorHAnsi"/>
              </w:rPr>
            </w:pPr>
            <w:r w:rsidRPr="000207A3">
              <w:rPr>
                <w:rFonts w:cstheme="minorHAnsi"/>
              </w:rPr>
              <w:t>Take with or without food</w:t>
            </w:r>
          </w:p>
          <w:p w14:paraId="16CCBC88" w14:textId="77777777" w:rsidR="00BF653D" w:rsidRDefault="00BF653D" w:rsidP="00BF653D">
            <w:pPr>
              <w:pStyle w:val="ListParagraph"/>
              <w:numPr>
                <w:ilvl w:val="0"/>
                <w:numId w:val="16"/>
              </w:numPr>
              <w:jc w:val="left"/>
              <w:rPr>
                <w:rFonts w:cstheme="minorHAnsi"/>
              </w:rPr>
            </w:pPr>
            <w:r w:rsidRPr="000207A3">
              <w:rPr>
                <w:rFonts w:cstheme="minorHAnsi"/>
              </w:rPr>
              <w:t>Taking with food can minimise the possibility of GI disturbance</w:t>
            </w:r>
          </w:p>
          <w:p w14:paraId="3D8E5751" w14:textId="4CAFFEBF" w:rsidR="00BF653D" w:rsidRPr="00BA70EA" w:rsidRDefault="00BF653D" w:rsidP="00BF653D">
            <w:pPr>
              <w:pStyle w:val="ListParagraph"/>
              <w:numPr>
                <w:ilvl w:val="0"/>
                <w:numId w:val="16"/>
              </w:numPr>
              <w:jc w:val="left"/>
              <w:rPr>
                <w:rFonts w:cstheme="minorHAnsi"/>
              </w:rPr>
            </w:pPr>
            <w:r w:rsidRPr="00BA70EA">
              <w:rPr>
                <w:rFonts w:cstheme="minorHAnsi"/>
              </w:rPr>
              <w:t>Alcohol in moderation unlikely to cause problems</w:t>
            </w:r>
          </w:p>
        </w:tc>
        <w:tc>
          <w:tcPr>
            <w:tcW w:w="2850" w:type="dxa"/>
            <w:shd w:val="clear" w:color="auto" w:fill="auto"/>
          </w:tcPr>
          <w:p w14:paraId="18B88DDA" w14:textId="77777777" w:rsidR="00BF653D" w:rsidRDefault="00BF653D" w:rsidP="00BF653D">
            <w:pPr>
              <w:pStyle w:val="ListParagraph"/>
              <w:numPr>
                <w:ilvl w:val="0"/>
                <w:numId w:val="3"/>
              </w:numPr>
              <w:jc w:val="left"/>
              <w:rPr>
                <w:rFonts w:cstheme="minorHAnsi"/>
              </w:rPr>
            </w:pPr>
            <w:r>
              <w:rPr>
                <w:rFonts w:cstheme="minorHAnsi"/>
              </w:rPr>
              <w:t>Diarrhoea</w:t>
            </w:r>
          </w:p>
          <w:p w14:paraId="7B26AC59" w14:textId="77777777" w:rsidR="00BF653D" w:rsidRDefault="00BF653D" w:rsidP="00BF653D">
            <w:pPr>
              <w:pStyle w:val="ListParagraph"/>
              <w:numPr>
                <w:ilvl w:val="0"/>
                <w:numId w:val="3"/>
              </w:numPr>
              <w:jc w:val="left"/>
              <w:rPr>
                <w:rFonts w:cstheme="minorHAnsi"/>
              </w:rPr>
            </w:pPr>
            <w:r>
              <w:rPr>
                <w:rFonts w:cstheme="minorHAnsi"/>
              </w:rPr>
              <w:t>Nausea/vomiting</w:t>
            </w:r>
          </w:p>
          <w:p w14:paraId="0EBF7622" w14:textId="77777777" w:rsidR="00BF653D" w:rsidRDefault="00BF653D" w:rsidP="00BF653D">
            <w:pPr>
              <w:pStyle w:val="ListParagraph"/>
              <w:numPr>
                <w:ilvl w:val="0"/>
                <w:numId w:val="3"/>
              </w:numPr>
              <w:jc w:val="left"/>
              <w:rPr>
                <w:rFonts w:cstheme="minorHAnsi"/>
              </w:rPr>
            </w:pPr>
            <w:r>
              <w:rPr>
                <w:rFonts w:cstheme="minorHAnsi"/>
              </w:rPr>
              <w:t xml:space="preserve">Severe skin reaction </w:t>
            </w:r>
          </w:p>
          <w:p w14:paraId="6E59C8E4" w14:textId="3D660AF7" w:rsidR="00BF653D" w:rsidRPr="00855AC5" w:rsidRDefault="00BF653D" w:rsidP="00BF653D">
            <w:pPr>
              <w:pStyle w:val="ListParagraph"/>
              <w:numPr>
                <w:ilvl w:val="0"/>
                <w:numId w:val="3"/>
              </w:numPr>
              <w:jc w:val="left"/>
              <w:rPr>
                <w:rFonts w:cstheme="minorHAnsi"/>
              </w:rPr>
            </w:pPr>
            <w:r w:rsidRPr="00855AC5">
              <w:rPr>
                <w:rFonts w:cstheme="minorHAnsi"/>
              </w:rPr>
              <w:t>Headache</w:t>
            </w:r>
          </w:p>
        </w:tc>
        <w:tc>
          <w:tcPr>
            <w:tcW w:w="3780" w:type="dxa"/>
            <w:shd w:val="clear" w:color="auto" w:fill="auto"/>
          </w:tcPr>
          <w:p w14:paraId="057CC9AB" w14:textId="77777777" w:rsidR="00BF653D" w:rsidRPr="007A4F5E" w:rsidRDefault="00BF653D" w:rsidP="00BF653D">
            <w:pPr>
              <w:pStyle w:val="ListParagraph"/>
              <w:numPr>
                <w:ilvl w:val="0"/>
                <w:numId w:val="4"/>
              </w:numPr>
              <w:jc w:val="left"/>
              <w:rPr>
                <w:rFonts w:cstheme="minorHAnsi"/>
              </w:rPr>
            </w:pPr>
            <w:r>
              <w:rPr>
                <w:rFonts w:cstheme="minorHAnsi"/>
              </w:rPr>
              <w:t>A</w:t>
            </w:r>
            <w:r w:rsidRPr="00304AA3">
              <w:rPr>
                <w:rFonts w:cstheme="minorHAnsi"/>
              </w:rPr>
              <w:t>void in patients who take methotrexate – contact prescriber for an alternative.</w:t>
            </w:r>
          </w:p>
          <w:p w14:paraId="522614B8" w14:textId="77777777" w:rsidR="00BF653D" w:rsidRDefault="00BF653D" w:rsidP="00BF653D">
            <w:pPr>
              <w:pStyle w:val="ListParagraph"/>
              <w:numPr>
                <w:ilvl w:val="0"/>
                <w:numId w:val="4"/>
              </w:numPr>
              <w:jc w:val="left"/>
              <w:rPr>
                <w:rFonts w:cstheme="minorHAnsi"/>
              </w:rPr>
            </w:pPr>
            <w:r w:rsidRPr="00304AA3">
              <w:rPr>
                <w:rFonts w:cstheme="minorHAnsi"/>
              </w:rPr>
              <w:t>May affect INR in patients on warfarin</w:t>
            </w:r>
          </w:p>
          <w:p w14:paraId="0F3F3191" w14:textId="614C9612" w:rsidR="00BF653D" w:rsidRPr="00855AC5" w:rsidRDefault="00BF653D" w:rsidP="00BF653D">
            <w:pPr>
              <w:pStyle w:val="ListParagraph"/>
              <w:numPr>
                <w:ilvl w:val="0"/>
                <w:numId w:val="4"/>
              </w:numPr>
              <w:jc w:val="left"/>
              <w:rPr>
                <w:rFonts w:cstheme="minorHAnsi"/>
              </w:rPr>
            </w:pPr>
            <w:r w:rsidRPr="00855AC5">
              <w:rPr>
                <w:rFonts w:cstheme="minorHAnsi"/>
              </w:rPr>
              <w:t>Counsel patients re signs and symptoms of blood disorders if for long-term use</w:t>
            </w:r>
          </w:p>
        </w:tc>
        <w:tc>
          <w:tcPr>
            <w:tcW w:w="3150" w:type="dxa"/>
            <w:shd w:val="clear" w:color="auto" w:fill="auto"/>
          </w:tcPr>
          <w:p w14:paraId="065D4532" w14:textId="77777777" w:rsidR="00BF653D" w:rsidRPr="00485FF1" w:rsidRDefault="00BF653D" w:rsidP="00BF653D">
            <w:pPr>
              <w:jc w:val="left"/>
              <w:rPr>
                <w:rFonts w:cstheme="minorHAnsi"/>
                <w:u w:val="single"/>
              </w:rPr>
            </w:pPr>
            <w:r w:rsidRPr="00485FF1">
              <w:rPr>
                <w:rFonts w:cstheme="minorHAnsi"/>
                <w:u w:val="single"/>
              </w:rPr>
              <w:t>Pregnancy:</w:t>
            </w:r>
          </w:p>
          <w:p w14:paraId="43344783" w14:textId="77777777" w:rsidR="00BF653D" w:rsidRDefault="00BF653D" w:rsidP="00BF653D">
            <w:pPr>
              <w:jc w:val="left"/>
              <w:rPr>
                <w:rFonts w:cstheme="minorHAnsi"/>
              </w:rPr>
            </w:pPr>
            <w:r>
              <w:rPr>
                <w:rFonts w:cstheme="minorHAnsi"/>
              </w:rPr>
              <w:t>Avoid especially in 1</w:t>
            </w:r>
            <w:r w:rsidRPr="007A4F5E">
              <w:rPr>
                <w:rFonts w:cstheme="minorHAnsi"/>
                <w:vertAlign w:val="superscript"/>
              </w:rPr>
              <w:t>st</w:t>
            </w:r>
            <w:r>
              <w:rPr>
                <w:rFonts w:cstheme="minorHAnsi"/>
              </w:rPr>
              <w:t xml:space="preserve"> trimester.</w:t>
            </w:r>
          </w:p>
          <w:p w14:paraId="47A836D8" w14:textId="77777777" w:rsidR="00BF653D" w:rsidRPr="00485FF1" w:rsidRDefault="00BF653D" w:rsidP="00BF653D">
            <w:pPr>
              <w:jc w:val="left"/>
              <w:rPr>
                <w:rFonts w:cstheme="minorHAnsi"/>
                <w:u w:val="single"/>
              </w:rPr>
            </w:pPr>
            <w:r w:rsidRPr="00485FF1">
              <w:rPr>
                <w:rFonts w:cstheme="minorHAnsi"/>
                <w:u w:val="single"/>
              </w:rPr>
              <w:t>Breastfeeding:</w:t>
            </w:r>
          </w:p>
          <w:p w14:paraId="1B4CD689" w14:textId="77777777" w:rsidR="00BF653D" w:rsidRDefault="00BF653D" w:rsidP="00BF653D">
            <w:pPr>
              <w:rPr>
                <w:b/>
                <w:bCs/>
                <w:i/>
                <w:iCs/>
                <w:u w:val="single"/>
              </w:rPr>
            </w:pPr>
            <w:r w:rsidRPr="007A4F5E">
              <w:rPr>
                <w:rFonts w:cstheme="minorHAnsi"/>
              </w:rPr>
              <w:t>Small risk of kernicterus in jaundiced infants and of haemolysis in G6PD-deficient infants (due to sulfamethoxazole).</w:t>
            </w:r>
          </w:p>
        </w:tc>
      </w:tr>
      <w:tr w:rsidR="00BF653D" w14:paraId="6C9ACA65" w14:textId="77777777" w:rsidTr="00026DB6">
        <w:tc>
          <w:tcPr>
            <w:tcW w:w="2552" w:type="dxa"/>
            <w:shd w:val="clear" w:color="auto" w:fill="F4DDC4"/>
          </w:tcPr>
          <w:p w14:paraId="3A256193" w14:textId="77777777" w:rsidR="00BF653D" w:rsidRPr="00C77620" w:rsidRDefault="00BF653D" w:rsidP="00794B3D">
            <w:pPr>
              <w:jc w:val="center"/>
              <w:rPr>
                <w:b/>
                <w:bCs/>
                <w:i/>
                <w:iCs/>
                <w:u w:val="single"/>
              </w:rPr>
            </w:pPr>
            <w:r w:rsidRPr="00794B3D">
              <w:rPr>
                <w:b/>
              </w:rPr>
              <w:t>Erythromycin</w:t>
            </w:r>
          </w:p>
        </w:tc>
        <w:tc>
          <w:tcPr>
            <w:tcW w:w="3119" w:type="dxa"/>
            <w:shd w:val="clear" w:color="auto" w:fill="auto"/>
          </w:tcPr>
          <w:p w14:paraId="1A41A72F" w14:textId="77777777" w:rsidR="00BF653D" w:rsidRDefault="00BF653D" w:rsidP="00BF653D">
            <w:pPr>
              <w:pStyle w:val="ListParagraph"/>
              <w:numPr>
                <w:ilvl w:val="0"/>
                <w:numId w:val="17"/>
              </w:numPr>
              <w:jc w:val="left"/>
              <w:rPr>
                <w:rFonts w:cstheme="minorHAnsi"/>
              </w:rPr>
            </w:pPr>
            <w:r w:rsidRPr="000207A3">
              <w:rPr>
                <w:rFonts w:cstheme="minorHAnsi"/>
              </w:rPr>
              <w:t xml:space="preserve">Take with food to reduce nausea </w:t>
            </w:r>
          </w:p>
          <w:p w14:paraId="418B944D" w14:textId="408A71EF" w:rsidR="00BF653D" w:rsidRPr="00BA70EA" w:rsidRDefault="00BF653D" w:rsidP="00BF653D">
            <w:pPr>
              <w:pStyle w:val="ListParagraph"/>
              <w:numPr>
                <w:ilvl w:val="0"/>
                <w:numId w:val="17"/>
              </w:numPr>
              <w:jc w:val="left"/>
              <w:rPr>
                <w:rFonts w:cstheme="minorHAnsi"/>
              </w:rPr>
            </w:pPr>
            <w:r w:rsidRPr="00BA70EA">
              <w:rPr>
                <w:rFonts w:cstheme="minorHAnsi"/>
              </w:rPr>
              <w:t>Alcohol in moderation unlikely to cause problems</w:t>
            </w:r>
          </w:p>
        </w:tc>
        <w:tc>
          <w:tcPr>
            <w:tcW w:w="2850" w:type="dxa"/>
            <w:shd w:val="clear" w:color="auto" w:fill="auto"/>
          </w:tcPr>
          <w:p w14:paraId="22C528DD" w14:textId="77777777" w:rsidR="00BF653D" w:rsidRDefault="00BF653D" w:rsidP="00BF653D">
            <w:pPr>
              <w:pStyle w:val="ListParagraph"/>
              <w:numPr>
                <w:ilvl w:val="0"/>
                <w:numId w:val="3"/>
              </w:numPr>
              <w:rPr>
                <w:rFonts w:cstheme="minorHAnsi"/>
              </w:rPr>
            </w:pPr>
            <w:r>
              <w:rPr>
                <w:rFonts w:cstheme="minorHAnsi"/>
              </w:rPr>
              <w:t>Nausea/Vomiting</w:t>
            </w:r>
          </w:p>
          <w:p w14:paraId="00BD666E" w14:textId="77777777" w:rsidR="00BF653D" w:rsidRDefault="00BF653D" w:rsidP="00BF653D">
            <w:pPr>
              <w:pStyle w:val="ListParagraph"/>
              <w:numPr>
                <w:ilvl w:val="0"/>
                <w:numId w:val="3"/>
              </w:numPr>
              <w:rPr>
                <w:rFonts w:cstheme="minorHAnsi"/>
              </w:rPr>
            </w:pPr>
            <w:r>
              <w:rPr>
                <w:rFonts w:cstheme="minorHAnsi"/>
              </w:rPr>
              <w:t xml:space="preserve">Stomach cramps </w:t>
            </w:r>
          </w:p>
          <w:p w14:paraId="7D0F29A7" w14:textId="77777777" w:rsidR="00BF653D" w:rsidRDefault="00BF653D" w:rsidP="00BF653D">
            <w:pPr>
              <w:pStyle w:val="ListParagraph"/>
              <w:numPr>
                <w:ilvl w:val="0"/>
                <w:numId w:val="3"/>
              </w:numPr>
              <w:rPr>
                <w:rFonts w:cstheme="minorHAnsi"/>
              </w:rPr>
            </w:pPr>
            <w:r>
              <w:rPr>
                <w:rFonts w:cstheme="minorHAnsi"/>
              </w:rPr>
              <w:t>Diarrhoea</w:t>
            </w:r>
          </w:p>
          <w:p w14:paraId="649B3AD0" w14:textId="77777777" w:rsidR="00BF653D" w:rsidRDefault="00BF653D" w:rsidP="00BF653D">
            <w:pPr>
              <w:pStyle w:val="ListParagraph"/>
              <w:numPr>
                <w:ilvl w:val="0"/>
                <w:numId w:val="3"/>
              </w:numPr>
              <w:rPr>
                <w:rFonts w:cstheme="minorHAnsi"/>
              </w:rPr>
            </w:pPr>
            <w:r>
              <w:rPr>
                <w:rFonts w:cstheme="minorHAnsi"/>
              </w:rPr>
              <w:t xml:space="preserve">Loss of appetite </w:t>
            </w:r>
          </w:p>
          <w:p w14:paraId="151A5238" w14:textId="56891944" w:rsidR="00BF653D" w:rsidRPr="00BA70EA" w:rsidRDefault="00BF653D" w:rsidP="00BF653D">
            <w:pPr>
              <w:pStyle w:val="ListParagraph"/>
              <w:numPr>
                <w:ilvl w:val="0"/>
                <w:numId w:val="3"/>
              </w:numPr>
              <w:rPr>
                <w:rFonts w:cstheme="minorHAnsi"/>
              </w:rPr>
            </w:pPr>
            <w:r w:rsidRPr="00BA70EA">
              <w:rPr>
                <w:rFonts w:cstheme="minorHAnsi"/>
              </w:rPr>
              <w:t xml:space="preserve">Bloating and indigestion </w:t>
            </w:r>
          </w:p>
        </w:tc>
        <w:tc>
          <w:tcPr>
            <w:tcW w:w="3780" w:type="dxa"/>
            <w:shd w:val="clear" w:color="auto" w:fill="auto"/>
          </w:tcPr>
          <w:p w14:paraId="2DD0E558" w14:textId="77777777" w:rsidR="00BF653D" w:rsidRPr="00AA298E" w:rsidRDefault="00BF653D" w:rsidP="00BF653D">
            <w:pPr>
              <w:pStyle w:val="ListParagraph"/>
              <w:numPr>
                <w:ilvl w:val="0"/>
                <w:numId w:val="4"/>
              </w:numPr>
              <w:jc w:val="left"/>
              <w:rPr>
                <w:rFonts w:cstheme="minorHAnsi"/>
              </w:rPr>
            </w:pPr>
            <w:r w:rsidRPr="00AA298E">
              <w:rPr>
                <w:rFonts w:cstheme="minorHAnsi"/>
              </w:rPr>
              <w:t>Caution in patients with a predisposition to QT prolongation/arrythmias.</w:t>
            </w:r>
          </w:p>
          <w:p w14:paraId="41FB20E2" w14:textId="77777777" w:rsidR="00BF653D" w:rsidRPr="00AA298E" w:rsidRDefault="00BF653D" w:rsidP="00BF653D">
            <w:pPr>
              <w:pStyle w:val="ListParagraph"/>
              <w:numPr>
                <w:ilvl w:val="0"/>
                <w:numId w:val="4"/>
              </w:numPr>
              <w:jc w:val="left"/>
              <w:rPr>
                <w:rFonts w:cstheme="minorHAnsi"/>
              </w:rPr>
            </w:pPr>
            <w:r w:rsidRPr="00AA298E">
              <w:rPr>
                <w:rFonts w:cstheme="minorHAnsi"/>
              </w:rPr>
              <w:t>Interacts with QT prolonging medication</w:t>
            </w:r>
          </w:p>
          <w:p w14:paraId="06A0A141" w14:textId="77777777" w:rsidR="00BF653D" w:rsidRDefault="00BF653D" w:rsidP="00BF653D">
            <w:pPr>
              <w:pStyle w:val="ListParagraph"/>
              <w:numPr>
                <w:ilvl w:val="0"/>
                <w:numId w:val="4"/>
              </w:numPr>
              <w:jc w:val="left"/>
              <w:rPr>
                <w:rFonts w:cstheme="minorHAnsi"/>
              </w:rPr>
            </w:pPr>
            <w:r>
              <w:rPr>
                <w:rFonts w:cstheme="minorHAnsi"/>
              </w:rPr>
              <w:t xml:space="preserve">Withhold statins, can cause </w:t>
            </w:r>
            <w:r w:rsidRPr="00AA298E">
              <w:rPr>
                <w:rFonts w:cstheme="minorHAnsi"/>
              </w:rPr>
              <w:t>myalgia/rhabdomyolysis.</w:t>
            </w:r>
          </w:p>
          <w:p w14:paraId="7EC66E3A" w14:textId="3C2F88D1" w:rsidR="00BF653D" w:rsidRPr="00BA70EA" w:rsidRDefault="00BF653D" w:rsidP="00BF653D">
            <w:pPr>
              <w:pStyle w:val="ListParagraph"/>
              <w:numPr>
                <w:ilvl w:val="0"/>
                <w:numId w:val="4"/>
              </w:numPr>
              <w:jc w:val="left"/>
              <w:rPr>
                <w:rFonts w:cstheme="minorHAnsi"/>
              </w:rPr>
            </w:pPr>
            <w:r w:rsidRPr="00BA70EA">
              <w:rPr>
                <w:rFonts w:cstheme="minorHAnsi"/>
              </w:rPr>
              <w:t>May affect INR in patients on warfarin.</w:t>
            </w:r>
          </w:p>
        </w:tc>
        <w:tc>
          <w:tcPr>
            <w:tcW w:w="3150" w:type="dxa"/>
            <w:shd w:val="clear" w:color="auto" w:fill="auto"/>
          </w:tcPr>
          <w:p w14:paraId="1D7FB37D" w14:textId="77777777" w:rsidR="00BF653D" w:rsidRPr="007A4F5E" w:rsidRDefault="00BF653D" w:rsidP="00BF653D">
            <w:pPr>
              <w:jc w:val="left"/>
              <w:rPr>
                <w:rFonts w:cstheme="minorHAnsi"/>
                <w:u w:val="single"/>
              </w:rPr>
            </w:pPr>
            <w:r w:rsidRPr="007A4F5E">
              <w:rPr>
                <w:rFonts w:cstheme="minorHAnsi"/>
                <w:u w:val="single"/>
              </w:rPr>
              <w:t>Pregnancy:</w:t>
            </w:r>
          </w:p>
          <w:p w14:paraId="4715852C" w14:textId="77777777" w:rsidR="00BF653D" w:rsidRDefault="00BF653D" w:rsidP="00BF653D">
            <w:pPr>
              <w:jc w:val="left"/>
              <w:rPr>
                <w:rFonts w:cstheme="minorHAnsi"/>
              </w:rPr>
            </w:pPr>
            <w:r>
              <w:rPr>
                <w:rFonts w:cstheme="minorHAnsi"/>
              </w:rPr>
              <w:t>Should only be used if benefit outweighs risk and no other alternative, small risk of malformation and miscarriage.</w:t>
            </w:r>
          </w:p>
          <w:p w14:paraId="1FA2BCC2" w14:textId="77777777" w:rsidR="00BF653D" w:rsidRDefault="00BF653D" w:rsidP="00BF653D">
            <w:pPr>
              <w:jc w:val="left"/>
              <w:rPr>
                <w:rFonts w:cstheme="minorHAnsi"/>
                <w:u w:val="single"/>
              </w:rPr>
            </w:pPr>
            <w:r w:rsidRPr="007A4F5E">
              <w:rPr>
                <w:rFonts w:cstheme="minorHAnsi"/>
                <w:u w:val="single"/>
              </w:rPr>
              <w:t>Breastfeeding:</w:t>
            </w:r>
          </w:p>
          <w:p w14:paraId="413014CD" w14:textId="77777777" w:rsidR="00BF653D" w:rsidRDefault="00BF653D" w:rsidP="00BF653D">
            <w:pPr>
              <w:rPr>
                <w:b/>
                <w:bCs/>
                <w:i/>
                <w:iCs/>
                <w:u w:val="single"/>
              </w:rPr>
            </w:pPr>
            <w:r w:rsidRPr="001C0CBC">
              <w:rPr>
                <w:rFonts w:cstheme="minorHAnsi"/>
              </w:rPr>
              <w:t>Small amounts in milk – not known to be harmful</w:t>
            </w:r>
            <w:r>
              <w:rPr>
                <w:rFonts w:cstheme="minorHAnsi"/>
              </w:rPr>
              <w:t>.</w:t>
            </w:r>
          </w:p>
        </w:tc>
      </w:tr>
    </w:tbl>
    <w:p w14:paraId="7B8A6457" w14:textId="77777777" w:rsidR="00026DB6" w:rsidRDefault="00026DB6">
      <w:pPr>
        <w:rPr>
          <w:b/>
          <w:bCs/>
          <w:i/>
          <w:iCs/>
          <w:u w:val="single"/>
        </w:rPr>
      </w:pPr>
    </w:p>
    <w:p w14:paraId="3DA6C4EC" w14:textId="6BCB9119" w:rsidR="009D58CC" w:rsidRPr="00DE3B25" w:rsidRDefault="0070626F">
      <w:pPr>
        <w:rPr>
          <w:b/>
          <w:bCs/>
          <w:i/>
          <w:iCs/>
          <w:u w:val="single"/>
        </w:rPr>
      </w:pPr>
      <w:r w:rsidRPr="00DE3B25">
        <w:rPr>
          <w:b/>
          <w:bCs/>
          <w:i/>
          <w:iCs/>
          <w:u w:val="single"/>
        </w:rPr>
        <w:lastRenderedPageBreak/>
        <w:t xml:space="preserve">More information available from: </w:t>
      </w:r>
    </w:p>
    <w:p w14:paraId="5F4D0886" w14:textId="0A0DCDEF" w:rsidR="00997EAE" w:rsidRDefault="008D468C" w:rsidP="00517BED">
      <w:pPr>
        <w:spacing w:after="0"/>
      </w:pPr>
      <w:hyperlink r:id="rId16" w:history="1">
        <w:r w:rsidR="009D58CC">
          <w:rPr>
            <w:rStyle w:val="Hyperlink"/>
          </w:rPr>
          <w:t>BNF British National Formulary - NICE</w:t>
        </w:r>
      </w:hyperlink>
      <w:r w:rsidR="00517BED">
        <w:rPr>
          <w:rStyle w:val="Hyperlink"/>
        </w:rPr>
        <w:t xml:space="preserve"> (</w:t>
      </w:r>
      <w:r w:rsidR="00517BED" w:rsidRPr="00517BED">
        <w:rPr>
          <w:rStyle w:val="Hyperlink"/>
        </w:rPr>
        <w:t>https://bnf.nice.org.uk/</w:t>
      </w:r>
      <w:r w:rsidR="00517BED">
        <w:rPr>
          <w:rStyle w:val="Hyperlink"/>
        </w:rPr>
        <w:t>)</w:t>
      </w:r>
      <w:r w:rsidR="00DE3B25">
        <w:tab/>
      </w:r>
      <w:r w:rsidR="00DE3B25">
        <w:tab/>
      </w:r>
      <w:r w:rsidR="00DE3B25">
        <w:tab/>
      </w:r>
      <w:r w:rsidR="00DE3B25">
        <w:tab/>
      </w:r>
      <w:r w:rsidR="00DE3B25">
        <w:tab/>
      </w:r>
      <w:r w:rsidR="00DE3B25">
        <w:tab/>
      </w:r>
      <w:r w:rsidR="00DE3B25">
        <w:tab/>
      </w:r>
      <w:r w:rsidR="00DE3B25">
        <w:tab/>
      </w:r>
      <w:r w:rsidR="00DE3B25">
        <w:tab/>
      </w:r>
    </w:p>
    <w:p w14:paraId="2BCA4785" w14:textId="24681BD0" w:rsidR="00053C6E" w:rsidRDefault="008D468C" w:rsidP="00517BED">
      <w:pPr>
        <w:spacing w:after="0"/>
        <w:rPr>
          <w:rStyle w:val="Hyperlink"/>
        </w:rPr>
      </w:pPr>
      <w:hyperlink r:id="rId17" w:history="1">
        <w:r w:rsidR="009D58CC">
          <w:rPr>
            <w:rStyle w:val="Hyperlink"/>
          </w:rPr>
          <w:t>Home - electronic medicines compendium (</w:t>
        </w:r>
        <w:r w:rsidR="00517BED" w:rsidRPr="00517BED">
          <w:rPr>
            <w:rStyle w:val="Hyperlink"/>
          </w:rPr>
          <w:t>https://www.medicines.org.uk/emc/</w:t>
        </w:r>
        <w:r w:rsidR="009D58CC">
          <w:rPr>
            <w:rStyle w:val="Hyperlink"/>
          </w:rPr>
          <w:t>)</w:t>
        </w:r>
      </w:hyperlink>
    </w:p>
    <w:p w14:paraId="577FBC51" w14:textId="6EA26A62" w:rsidR="008D6092" w:rsidRDefault="008D468C" w:rsidP="00517BED">
      <w:pPr>
        <w:spacing w:after="0"/>
        <w:rPr>
          <w:rStyle w:val="Hyperlink"/>
        </w:rPr>
      </w:pPr>
      <w:hyperlink r:id="rId18" w:history="1">
        <w:r w:rsidR="008D6092">
          <w:rPr>
            <w:rStyle w:val="Hyperlink"/>
          </w:rPr>
          <w:t>bumps - best use of medicine in pregnancy (medicinesinpregnancy.org)</w:t>
        </w:r>
      </w:hyperlink>
    </w:p>
    <w:p w14:paraId="49E31742" w14:textId="14DC373E" w:rsidR="00517BED" w:rsidRDefault="003C4CDE" w:rsidP="00517BED">
      <w:pPr>
        <w:spacing w:after="0"/>
        <w:rPr>
          <w:rStyle w:val="Hyperlink"/>
        </w:rPr>
      </w:pPr>
      <w:r>
        <w:rPr>
          <w:rStyle w:val="Hyperlink"/>
        </w:rPr>
        <w:t>Useful Patient Information Leaflets for children available at</w:t>
      </w:r>
      <w:r w:rsidR="00D35146">
        <w:rPr>
          <w:rStyle w:val="Hyperlink"/>
        </w:rPr>
        <w:t>:</w:t>
      </w:r>
      <w:r>
        <w:rPr>
          <w:rStyle w:val="Hyperlink"/>
        </w:rPr>
        <w:t xml:space="preserve"> </w:t>
      </w:r>
      <w:hyperlink r:id="rId19" w:history="1">
        <w:r w:rsidR="00A62DC3" w:rsidRPr="005176F7">
          <w:rPr>
            <w:rStyle w:val="Hyperlink"/>
          </w:rPr>
          <w:t>www.medicinesforchildren.org.uk</w:t>
        </w:r>
      </w:hyperlink>
      <w:r w:rsidR="00517BED" w:rsidRPr="00517BED">
        <w:rPr>
          <w:rStyle w:val="Hyperlink"/>
        </w:rPr>
        <w:t xml:space="preserve"> </w:t>
      </w:r>
    </w:p>
    <w:p w14:paraId="5D14CEC5" w14:textId="0A8B0D66" w:rsidR="00517BED" w:rsidRPr="00D35146" w:rsidRDefault="00D35146" w:rsidP="00517BED">
      <w:pPr>
        <w:spacing w:after="0"/>
        <w:rPr>
          <w:rStyle w:val="Hyperlink"/>
          <w:color w:val="auto"/>
          <w:u w:val="none"/>
        </w:rPr>
      </w:pPr>
      <w:r>
        <w:rPr>
          <w:rStyle w:val="Hyperlink"/>
          <w:color w:val="auto"/>
          <w:u w:val="none"/>
        </w:rPr>
        <w:t>Please seek f</w:t>
      </w:r>
      <w:r w:rsidR="00517BED" w:rsidRPr="00D35146">
        <w:rPr>
          <w:rStyle w:val="Hyperlink"/>
          <w:color w:val="auto"/>
          <w:u w:val="none"/>
        </w:rPr>
        <w:t>urther advice regarding pregnancy and breastfeeding from your local Medicines Information and Advice Servic</w:t>
      </w:r>
      <w:r w:rsidRPr="00D35146">
        <w:rPr>
          <w:rStyle w:val="Hyperlink"/>
          <w:color w:val="auto"/>
          <w:u w:val="none"/>
        </w:rPr>
        <w:t>e</w:t>
      </w:r>
    </w:p>
    <w:p w14:paraId="6E3DAC56" w14:textId="77777777" w:rsidR="00D35146" w:rsidRDefault="00D35146" w:rsidP="00517BED">
      <w:pPr>
        <w:spacing w:after="0"/>
        <w:rPr>
          <w:rStyle w:val="Hyperlink"/>
        </w:rPr>
      </w:pPr>
    </w:p>
    <w:p w14:paraId="6CD4CA97" w14:textId="024D5687" w:rsidR="003C4CDE" w:rsidRPr="005C033A" w:rsidRDefault="003C4CDE" w:rsidP="00517BED">
      <w:pPr>
        <w:spacing w:after="0"/>
        <w:rPr>
          <w:rStyle w:val="Hyperlink"/>
          <w:sz w:val="10"/>
          <w:szCs w:val="10"/>
        </w:rPr>
      </w:pPr>
    </w:p>
    <w:p w14:paraId="120DE962" w14:textId="52578228" w:rsidR="00A62DC3" w:rsidRPr="005C033A" w:rsidRDefault="00A62DC3" w:rsidP="00A62DC3">
      <w:pPr>
        <w:spacing w:line="240" w:lineRule="auto"/>
        <w:jc w:val="left"/>
        <w:rPr>
          <w:rStyle w:val="Hyperlink"/>
          <w:b/>
          <w:bCs/>
          <w:i/>
          <w:iCs/>
          <w:color w:val="auto"/>
          <w:sz w:val="14"/>
          <w:szCs w:val="14"/>
        </w:rPr>
      </w:pPr>
      <w:r w:rsidRPr="005C033A">
        <w:rPr>
          <w:rStyle w:val="Hyperlink"/>
          <w:b/>
          <w:bCs/>
          <w:i/>
          <w:iCs/>
          <w:color w:val="auto"/>
          <w:sz w:val="14"/>
          <w:szCs w:val="14"/>
        </w:rPr>
        <w:t>References:</w:t>
      </w:r>
    </w:p>
    <w:p w14:paraId="49C4A95B" w14:textId="77777777" w:rsidR="00A62DC3" w:rsidRPr="005C033A" w:rsidRDefault="00A62DC3" w:rsidP="005C033A">
      <w:pPr>
        <w:spacing w:after="0" w:line="240" w:lineRule="auto"/>
        <w:jc w:val="left"/>
        <w:rPr>
          <w:i/>
          <w:iCs/>
          <w:sz w:val="16"/>
          <w:szCs w:val="16"/>
        </w:rPr>
      </w:pPr>
      <w:r w:rsidRPr="005C033A">
        <w:rPr>
          <w:i/>
          <w:iCs/>
          <w:sz w:val="16"/>
          <w:szCs w:val="16"/>
        </w:rPr>
        <w:t xml:space="preserve">Joint Formulary Committee. British National Formulary (online). London: BMJ Group and Pharmaceutical Press. Available at: </w:t>
      </w:r>
      <w:hyperlink r:id="rId20" w:history="1">
        <w:r w:rsidRPr="005C033A">
          <w:rPr>
            <w:rStyle w:val="Hyperlink"/>
            <w:i/>
            <w:iCs/>
            <w:color w:val="auto"/>
            <w:sz w:val="16"/>
            <w:szCs w:val="16"/>
          </w:rPr>
          <w:t>www.medicinescomplete.com</w:t>
        </w:r>
      </w:hyperlink>
      <w:r w:rsidRPr="005C033A">
        <w:rPr>
          <w:i/>
          <w:iCs/>
          <w:sz w:val="16"/>
          <w:szCs w:val="16"/>
        </w:rPr>
        <w:t>. Publication last updated on 11-May-2021.</w:t>
      </w:r>
    </w:p>
    <w:p w14:paraId="18A1E5B9" w14:textId="77777777" w:rsidR="00A62DC3" w:rsidRPr="005C033A" w:rsidRDefault="00A62DC3" w:rsidP="005C033A">
      <w:pPr>
        <w:spacing w:after="0" w:line="240" w:lineRule="auto"/>
        <w:jc w:val="left"/>
        <w:rPr>
          <w:i/>
          <w:iCs/>
          <w:sz w:val="16"/>
          <w:szCs w:val="16"/>
        </w:rPr>
      </w:pPr>
      <w:r w:rsidRPr="005C033A">
        <w:rPr>
          <w:i/>
          <w:iCs/>
          <w:sz w:val="16"/>
          <w:szCs w:val="16"/>
        </w:rPr>
        <w:t xml:space="preserve">Joint Formulary Committee. British National Formulary for Children (online). London: BMJ Group and Pharmaceutical Press. Available at: </w:t>
      </w:r>
      <w:hyperlink r:id="rId21" w:history="1">
        <w:r w:rsidRPr="005C033A">
          <w:rPr>
            <w:rStyle w:val="Hyperlink"/>
            <w:i/>
            <w:iCs/>
            <w:color w:val="auto"/>
            <w:sz w:val="16"/>
            <w:szCs w:val="16"/>
          </w:rPr>
          <w:t>www.medicinescomplete.com</w:t>
        </w:r>
      </w:hyperlink>
      <w:r w:rsidRPr="005C033A">
        <w:rPr>
          <w:i/>
          <w:iCs/>
          <w:sz w:val="16"/>
          <w:szCs w:val="16"/>
        </w:rPr>
        <w:t>. Publication last updated on 11-May-2021.</w:t>
      </w:r>
    </w:p>
    <w:p w14:paraId="15F69FA2" w14:textId="5F3FF374" w:rsidR="00A62DC3" w:rsidRDefault="00A62DC3" w:rsidP="005C033A">
      <w:pPr>
        <w:spacing w:after="0" w:line="240" w:lineRule="auto"/>
        <w:jc w:val="left"/>
        <w:rPr>
          <w:i/>
          <w:iCs/>
          <w:sz w:val="16"/>
          <w:szCs w:val="16"/>
        </w:rPr>
      </w:pPr>
      <w:r w:rsidRPr="005C033A">
        <w:rPr>
          <w:i/>
          <w:iCs/>
          <w:sz w:val="16"/>
          <w:szCs w:val="16"/>
        </w:rPr>
        <w:t xml:space="preserve">Summary of Product Characteristics accessed via </w:t>
      </w:r>
      <w:hyperlink r:id="rId22" w:history="1">
        <w:r w:rsidRPr="005C033A">
          <w:rPr>
            <w:rStyle w:val="Hyperlink"/>
            <w:i/>
            <w:iCs/>
            <w:color w:val="auto"/>
            <w:sz w:val="16"/>
            <w:szCs w:val="16"/>
          </w:rPr>
          <w:t>www.medicines.org.uk</w:t>
        </w:r>
      </w:hyperlink>
      <w:r w:rsidRPr="005C033A">
        <w:rPr>
          <w:i/>
          <w:iCs/>
          <w:sz w:val="16"/>
          <w:szCs w:val="16"/>
        </w:rPr>
        <w:t xml:space="preserve">. </w:t>
      </w:r>
    </w:p>
    <w:p w14:paraId="336B903E" w14:textId="03FAE693" w:rsidR="00D35146" w:rsidRPr="005C033A" w:rsidRDefault="00D35146" w:rsidP="005C033A">
      <w:pPr>
        <w:spacing w:after="0" w:line="240" w:lineRule="auto"/>
        <w:jc w:val="left"/>
        <w:rPr>
          <w:i/>
          <w:iCs/>
          <w:sz w:val="16"/>
          <w:szCs w:val="16"/>
        </w:rPr>
      </w:pPr>
      <w:r>
        <w:rPr>
          <w:i/>
          <w:iCs/>
          <w:sz w:val="16"/>
          <w:szCs w:val="16"/>
        </w:rPr>
        <w:t xml:space="preserve">National Institute for Health and Care Excellence (NICE). </w:t>
      </w:r>
      <w:r w:rsidRPr="00D35146">
        <w:rPr>
          <w:i/>
          <w:iCs/>
          <w:sz w:val="16"/>
          <w:szCs w:val="16"/>
        </w:rPr>
        <w:t>Shared decision makin</w:t>
      </w:r>
      <w:r>
        <w:rPr>
          <w:i/>
          <w:iCs/>
          <w:sz w:val="16"/>
          <w:szCs w:val="16"/>
        </w:rPr>
        <w:t xml:space="preserve">g NICE guideline [NG197]. 17 June 2021. Available at: </w:t>
      </w:r>
      <w:hyperlink r:id="rId23" w:history="1">
        <w:r w:rsidRPr="002D163F">
          <w:rPr>
            <w:rStyle w:val="Hyperlink"/>
            <w:i/>
            <w:iCs/>
            <w:sz w:val="16"/>
            <w:szCs w:val="16"/>
          </w:rPr>
          <w:t>https://www.nice.org.uk/guidance/ng197</w:t>
        </w:r>
      </w:hyperlink>
      <w:r>
        <w:rPr>
          <w:i/>
          <w:iCs/>
          <w:sz w:val="16"/>
          <w:szCs w:val="16"/>
        </w:rPr>
        <w:t xml:space="preserve"> </w:t>
      </w:r>
    </w:p>
    <w:p w14:paraId="3156D0E3" w14:textId="77777777" w:rsidR="00A62DC3" w:rsidRPr="005C033A" w:rsidRDefault="00A62DC3" w:rsidP="005C033A">
      <w:pPr>
        <w:spacing w:after="0" w:line="240" w:lineRule="auto"/>
        <w:jc w:val="left"/>
        <w:rPr>
          <w:i/>
          <w:iCs/>
          <w:sz w:val="16"/>
          <w:szCs w:val="16"/>
        </w:rPr>
      </w:pPr>
      <w:r w:rsidRPr="005C033A">
        <w:rPr>
          <w:i/>
          <w:iCs/>
          <w:sz w:val="16"/>
          <w:szCs w:val="16"/>
        </w:rPr>
        <w:t xml:space="preserve">Briggs GG, Freeman RK, </w:t>
      </w:r>
      <w:proofErr w:type="spellStart"/>
      <w:r w:rsidRPr="005C033A">
        <w:rPr>
          <w:i/>
          <w:iCs/>
          <w:sz w:val="16"/>
          <w:szCs w:val="16"/>
        </w:rPr>
        <w:t>Yaffe</w:t>
      </w:r>
      <w:proofErr w:type="spellEnd"/>
      <w:r w:rsidRPr="005C033A">
        <w:rPr>
          <w:i/>
          <w:iCs/>
          <w:sz w:val="16"/>
          <w:szCs w:val="16"/>
        </w:rPr>
        <w:t xml:space="preserve"> SJ, eds. Drugs in pregnancy and lactation. Philadelphia: Lippincott Williams &amp; Wilkins. Available at: </w:t>
      </w:r>
      <w:hyperlink r:id="rId24" w:history="1">
        <w:r w:rsidRPr="005C033A">
          <w:rPr>
            <w:rStyle w:val="Hyperlink"/>
            <w:i/>
            <w:iCs/>
            <w:color w:val="auto"/>
            <w:sz w:val="16"/>
            <w:szCs w:val="16"/>
          </w:rPr>
          <w:t>www.medicinescomplete.com</w:t>
        </w:r>
      </w:hyperlink>
      <w:r w:rsidRPr="005C033A">
        <w:rPr>
          <w:i/>
          <w:iCs/>
          <w:sz w:val="16"/>
          <w:szCs w:val="16"/>
        </w:rPr>
        <w:t>. Publication last updated on 11-Apr-2021</w:t>
      </w:r>
    </w:p>
    <w:p w14:paraId="6A984F6E" w14:textId="77777777" w:rsidR="00A62DC3" w:rsidRPr="005C033A" w:rsidRDefault="00A62DC3" w:rsidP="005C033A">
      <w:pPr>
        <w:spacing w:after="0" w:line="240" w:lineRule="auto"/>
        <w:jc w:val="left"/>
        <w:rPr>
          <w:i/>
          <w:iCs/>
          <w:sz w:val="16"/>
          <w:szCs w:val="16"/>
        </w:rPr>
      </w:pPr>
      <w:r w:rsidRPr="005C033A">
        <w:rPr>
          <w:i/>
          <w:iCs/>
          <w:sz w:val="16"/>
          <w:szCs w:val="16"/>
        </w:rPr>
        <w:t xml:space="preserve">NHS. Can I drink alcohol while taking antibiotics? Available at: </w:t>
      </w:r>
      <w:hyperlink r:id="rId25" w:anchor=":~:text=Some%20antibiotics%20have%20a%20variety,and%20tinidazole%20can%20cause%20drowsiness" w:history="1">
        <w:r w:rsidRPr="005C033A">
          <w:rPr>
            <w:rStyle w:val="Hyperlink"/>
            <w:i/>
            <w:iCs/>
            <w:color w:val="auto"/>
            <w:sz w:val="16"/>
            <w:szCs w:val="16"/>
          </w:rPr>
          <w:t>https://www.nhs.uk/common-health-questions/medicines/can-i-drink-alcohol-while-taking-antibiotics/#:~:text=Some%20antibiotics%20have%20a%20variety,and%20tinidazole%20can%20cause%20drowsiness</w:t>
        </w:r>
      </w:hyperlink>
      <w:r w:rsidRPr="005C033A">
        <w:rPr>
          <w:i/>
          <w:iCs/>
          <w:sz w:val="16"/>
          <w:szCs w:val="16"/>
        </w:rPr>
        <w:t>. Page last reviewed: 11 May 2021</w:t>
      </w:r>
    </w:p>
    <w:p w14:paraId="486C86B3" w14:textId="1CCF95C2" w:rsidR="00A62DC3" w:rsidRPr="005C033A" w:rsidRDefault="00A62DC3" w:rsidP="005C033A">
      <w:pPr>
        <w:spacing w:after="0" w:line="240" w:lineRule="auto"/>
        <w:jc w:val="left"/>
        <w:rPr>
          <w:i/>
          <w:iCs/>
          <w:sz w:val="28"/>
          <w:szCs w:val="28"/>
        </w:rPr>
      </w:pPr>
      <w:r w:rsidRPr="005C033A">
        <w:rPr>
          <w:i/>
          <w:iCs/>
          <w:sz w:val="16"/>
          <w:szCs w:val="16"/>
        </w:rPr>
        <w:t xml:space="preserve">Medicines for Children Patient Information Leaflets. London: Royal College of Paediatrics and Child Health, Neonatal &amp; Paediatric Pharmacists Group, </w:t>
      </w:r>
      <w:proofErr w:type="spellStart"/>
      <w:r w:rsidRPr="005C033A">
        <w:rPr>
          <w:i/>
          <w:iCs/>
          <w:sz w:val="16"/>
          <w:szCs w:val="16"/>
        </w:rPr>
        <w:t>WellChild</w:t>
      </w:r>
      <w:proofErr w:type="spellEnd"/>
      <w:r w:rsidRPr="005C033A">
        <w:rPr>
          <w:i/>
          <w:iCs/>
          <w:sz w:val="16"/>
          <w:szCs w:val="16"/>
        </w:rPr>
        <w:t xml:space="preserve">. Available at: </w:t>
      </w:r>
      <w:hyperlink r:id="rId26" w:history="1">
        <w:r w:rsidRPr="005C033A">
          <w:rPr>
            <w:rStyle w:val="Hyperlink"/>
            <w:i/>
            <w:iCs/>
            <w:color w:val="auto"/>
            <w:sz w:val="16"/>
            <w:szCs w:val="16"/>
          </w:rPr>
          <w:t>www.medicinesforchildren.org.uk</w:t>
        </w:r>
      </w:hyperlink>
    </w:p>
    <w:sectPr w:rsidR="00A62DC3" w:rsidRPr="005C033A" w:rsidSect="000C25D7">
      <w:pgSz w:w="16838" w:h="11906" w:orient="landscape"/>
      <w:pgMar w:top="1560" w:right="144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184A" w14:textId="77777777" w:rsidR="00F768BE" w:rsidRDefault="00F768BE" w:rsidP="00F768BE">
      <w:pPr>
        <w:spacing w:after="0" w:line="240" w:lineRule="auto"/>
      </w:pPr>
      <w:r>
        <w:separator/>
      </w:r>
    </w:p>
  </w:endnote>
  <w:endnote w:type="continuationSeparator" w:id="0">
    <w:p w14:paraId="0AC24E5E" w14:textId="77777777" w:rsidR="00F768BE" w:rsidRDefault="00F768BE" w:rsidP="00F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BE">
    <w:altName w:val="Calibri"/>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3F10" w14:textId="1E7FB528" w:rsidR="00A62DC3" w:rsidRDefault="00D7732D" w:rsidP="00AA0F90">
    <w:pPr>
      <w:pStyle w:val="Footer"/>
    </w:pPr>
    <w:r>
      <w:rPr>
        <w:noProof/>
        <w:sz w:val="24"/>
        <w:szCs w:val="24"/>
        <w:lang w:eastAsia="en-GB"/>
      </w:rPr>
      <mc:AlternateContent>
        <mc:Choice Requires="wpg">
          <w:drawing>
            <wp:anchor distT="0" distB="0" distL="114300" distR="114300" simplePos="0" relativeHeight="251663360" behindDoc="0" locked="0" layoutInCell="1" allowOverlap="1" wp14:anchorId="40CF5580" wp14:editId="199BDC33">
              <wp:simplePos x="0" y="0"/>
              <wp:positionH relativeFrom="page">
                <wp:posOffset>8255</wp:posOffset>
              </wp:positionH>
              <wp:positionV relativeFrom="paragraph">
                <wp:posOffset>371846</wp:posOffset>
              </wp:positionV>
              <wp:extent cx="10696575" cy="238125"/>
              <wp:effectExtent l="0" t="0" r="9525"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238125"/>
                        <a:chOff x="0" y="-991"/>
                        <a:chExt cx="8391" cy="567"/>
                      </a:xfrm>
                      <a:solidFill>
                        <a:srgbClr val="AD0016"/>
                      </a:solidFill>
                    </wpg:grpSpPr>
                    <wps:wsp>
                      <wps:cNvPr id="11" name="Rectangle 2"/>
                      <wps:cNvSpPr>
                        <a:spLocks noChangeArrowheads="1"/>
                      </wps:cNvSpPr>
                      <wps:spPr bwMode="auto">
                        <a:xfrm>
                          <a:off x="0" y="-992"/>
                          <a:ext cx="8391" cy="5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0" y="-991"/>
                          <a:ext cx="0" cy="567"/>
                        </a:xfrm>
                        <a:prstGeom prst="line">
                          <a:avLst/>
                        </a:prstGeom>
                        <a:grpFill/>
                        <a:ln w="0">
                          <a:solidFill>
                            <a:srgbClr val="AC0015"/>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D249F30" id="Group 10" o:spid="_x0000_s1026" style="position:absolute;margin-left:.65pt;margin-top:29.3pt;width:842.25pt;height:18.75pt;z-index:251663360;mso-position-horizontal-relative:page" coordorigin=",-991" coordsize="83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">
              <v:rect id="Rectangle 2" o:spid="_x0000_s1027" style="position:absolute;top:-992;width:839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line id="Line 3" o:spid="_x0000_s1028" style="position:absolute;visibility:visible;mso-wrap-style:square" from="0,-991" to="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" strokecolor="#ac0015" strokeweight="0"/>
              <w10:wrap anchorx="page"/>
            </v:group>
          </w:pict>
        </mc:Fallback>
      </mc:AlternateContent>
    </w:r>
    <w:r w:rsidR="00F712A1" w:rsidRPr="00F712A1">
      <w:rPr>
        <w:i/>
        <w:iCs/>
        <w:sz w:val="20"/>
        <w:szCs w:val="20"/>
      </w:rPr>
      <w:t>*</w:t>
    </w:r>
    <w:proofErr w:type="gramStart"/>
    <w:r w:rsidR="00F712A1" w:rsidRPr="00F712A1">
      <w:rPr>
        <w:i/>
        <w:iCs/>
        <w:sz w:val="20"/>
        <w:szCs w:val="20"/>
      </w:rPr>
      <w:t>not</w:t>
    </w:r>
    <w:proofErr w:type="gramEnd"/>
    <w:r w:rsidR="00F712A1" w:rsidRPr="00F712A1">
      <w:rPr>
        <w:i/>
        <w:iCs/>
        <w:sz w:val="20"/>
        <w:szCs w:val="20"/>
      </w:rPr>
      <w:t xml:space="preserve"> exhaustive</w:t>
    </w:r>
    <w:r w:rsidR="00F712A1">
      <w:tab/>
    </w:r>
    <w:r w:rsidR="00F712A1">
      <w:tab/>
    </w:r>
    <w:r w:rsidR="00AA0F90">
      <w:t xml:space="preserve">                                          </w:t>
    </w:r>
    <w:r w:rsidR="0070626F">
      <w:t xml:space="preserve">Version </w:t>
    </w:r>
    <w:r w:rsidR="005A0C27">
      <w:t>3</w:t>
    </w:r>
    <w:r w:rsidR="00BF6221">
      <w:t>.1</w:t>
    </w:r>
    <w:r w:rsidR="00AA0F90">
      <w:t xml:space="preserve">. Published </w:t>
    </w:r>
    <w:r w:rsidR="005A0C27">
      <w:t>September</w:t>
    </w:r>
    <w:r w:rsidR="00AA0F90">
      <w:t xml:space="preserve"> 2021. </w:t>
    </w:r>
    <w:r w:rsidR="008D468C">
      <w:t>Under r</w:t>
    </w:r>
    <w:r w:rsidR="00AA0F90">
      <w:t>eview</w:t>
    </w:r>
    <w:r w:rsidR="008D468C">
      <w:t>, expected update March</w:t>
    </w:r>
    <w:r w:rsidR="00AA0F90">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E497" w14:textId="77777777" w:rsidR="00F768BE" w:rsidRDefault="00F768BE" w:rsidP="00F768BE">
      <w:pPr>
        <w:spacing w:after="0" w:line="240" w:lineRule="auto"/>
      </w:pPr>
      <w:r>
        <w:separator/>
      </w:r>
    </w:p>
  </w:footnote>
  <w:footnote w:type="continuationSeparator" w:id="0">
    <w:p w14:paraId="267C030D" w14:textId="77777777" w:rsidR="00F768BE" w:rsidRDefault="00F768BE" w:rsidP="00F7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3033" w14:textId="6EAEFDAA" w:rsidR="00F768BE" w:rsidRPr="00517BED" w:rsidRDefault="008D468C" w:rsidP="00F7593D">
    <w:pPr>
      <w:pStyle w:val="Header"/>
      <w:rPr>
        <w:rFonts w:ascii="Berthold Akzidenz Grotesk BE" w:hAnsi="Berthold Akzidenz Grotesk BE"/>
        <w:sz w:val="40"/>
        <w:szCs w:val="40"/>
      </w:rPr>
    </w:pPr>
    <w:sdt>
      <w:sdtPr>
        <w:rPr>
          <w:rFonts w:ascii="Berthold Akzidenz Grotesk BE" w:hAnsi="Berthold Akzidenz Grotesk BE"/>
          <w:sz w:val="44"/>
          <w:szCs w:val="44"/>
        </w:rPr>
        <w:id w:val="-1802761270"/>
        <w:docPartObj>
          <w:docPartGallery w:val="Watermarks"/>
          <w:docPartUnique/>
        </w:docPartObj>
      </w:sdtPr>
      <w:sdtContent>
        <w:r w:rsidRPr="008D468C">
          <w:rPr>
            <w:rFonts w:ascii="Berthold Akzidenz Grotesk BE" w:hAnsi="Berthold Akzidenz Grotesk BE"/>
            <w:noProof/>
            <w:sz w:val="44"/>
            <w:szCs w:val="44"/>
          </w:rPr>
          <w:pict w14:anchorId="003D6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3111" o:spid="_x0000_s30721" type="#_x0000_t136" style="position:absolute;left:0;text-align:left;margin-left:0;margin-top:0;width:527.45pt;height:131.85pt;rotation:315;z-index:-251649024;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sdtContent>
    </w:sdt>
    <w:r w:rsidR="00F7593D" w:rsidRPr="00517BED">
      <w:rPr>
        <w:noProof/>
        <w:lang w:eastAsia="en-GB"/>
      </w:rPr>
      <w:drawing>
        <wp:anchor distT="0" distB="0" distL="114300" distR="114300" simplePos="0" relativeHeight="251660288" behindDoc="1" locked="0" layoutInCell="1" allowOverlap="1" wp14:anchorId="0286C40D" wp14:editId="68E65F22">
          <wp:simplePos x="0" y="0"/>
          <wp:positionH relativeFrom="column">
            <wp:posOffset>8181975</wp:posOffset>
          </wp:positionH>
          <wp:positionV relativeFrom="paragraph">
            <wp:posOffset>-167005</wp:posOffset>
          </wp:positionV>
          <wp:extent cx="1543050" cy="689610"/>
          <wp:effectExtent l="0" t="0" r="0" b="0"/>
          <wp:wrapTight wrapText="bothSides">
            <wp:wrapPolygon edited="0">
              <wp:start x="0" y="0"/>
              <wp:lineTo x="0" y="20884"/>
              <wp:lineTo x="21333" y="20884"/>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93D" w:rsidRPr="00517BED">
      <w:rPr>
        <w:noProof/>
        <w:lang w:eastAsia="en-GB"/>
      </w:rPr>
      <w:drawing>
        <wp:anchor distT="0" distB="0" distL="114300" distR="114300" simplePos="0" relativeHeight="251659264" behindDoc="1" locked="0" layoutInCell="1" allowOverlap="1" wp14:anchorId="7DE8247C" wp14:editId="03E2246A">
          <wp:simplePos x="0" y="0"/>
          <wp:positionH relativeFrom="page">
            <wp:posOffset>482600</wp:posOffset>
          </wp:positionH>
          <wp:positionV relativeFrom="paragraph">
            <wp:posOffset>-103505</wp:posOffset>
          </wp:positionV>
          <wp:extent cx="2244725" cy="525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7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32D" w:rsidRPr="00517BED">
      <w:rPr>
        <w:noProof/>
        <w:lang w:eastAsia="en-GB"/>
      </w:rPr>
      <mc:AlternateContent>
        <mc:Choice Requires="wpg">
          <w:drawing>
            <wp:anchor distT="0" distB="0" distL="114300" distR="114300" simplePos="0" relativeHeight="251665408" behindDoc="0" locked="0" layoutInCell="1" allowOverlap="1" wp14:anchorId="7FEA8853" wp14:editId="1A0A5642">
              <wp:simplePos x="0" y="0"/>
              <wp:positionH relativeFrom="page">
                <wp:align>left</wp:align>
              </wp:positionH>
              <wp:positionV relativeFrom="paragraph">
                <wp:posOffset>-448310</wp:posOffset>
              </wp:positionV>
              <wp:extent cx="10696575" cy="238125"/>
              <wp:effectExtent l="0" t="0" r="9525" b="285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238125"/>
                        <a:chOff x="0" y="-991"/>
                        <a:chExt cx="8391" cy="567"/>
                      </a:xfrm>
                      <a:solidFill>
                        <a:srgbClr val="AD0016"/>
                      </a:solidFill>
                    </wpg:grpSpPr>
                    <wps:wsp>
                      <wps:cNvPr id="14" name="Rectangle 2"/>
                      <wps:cNvSpPr>
                        <a:spLocks noChangeArrowheads="1"/>
                      </wps:cNvSpPr>
                      <wps:spPr bwMode="auto">
                        <a:xfrm>
                          <a:off x="0" y="-992"/>
                          <a:ext cx="8391" cy="5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3"/>
                      <wps:cNvCnPr>
                        <a:cxnSpLocks noChangeShapeType="1"/>
                      </wps:cNvCnPr>
                      <wps:spPr bwMode="auto">
                        <a:xfrm>
                          <a:off x="0" y="-991"/>
                          <a:ext cx="0" cy="567"/>
                        </a:xfrm>
                        <a:prstGeom prst="line">
                          <a:avLst/>
                        </a:prstGeom>
                        <a:grpFill/>
                        <a:ln w="0">
                          <a:solidFill>
                            <a:srgbClr val="AC0015"/>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81F0DDB" id="Group 13" o:spid="_x0000_s1026" style="position:absolute;margin-left:0;margin-top:-35.3pt;width:842.25pt;height:18.75pt;z-index:251665408;mso-position-horizontal:left;mso-position-horizontal-relative:page" coordorigin=",-991" coordsize="83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">
              <v:rect id="Rectangle 2" o:spid="_x0000_s1027" style="position:absolute;top:-992;width:839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3" o:spid="_x0000_s1028" style="position:absolute;visibility:visible;mso-wrap-style:square" from="0,-991" to="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" strokecolor="#ac0015" strokeweight="0"/>
              <w10:wrap anchorx="page"/>
            </v:group>
          </w:pict>
        </mc:Fallback>
      </mc:AlternateContent>
    </w:r>
    <w:r w:rsidR="00F7593D">
      <w:rPr>
        <w:rFonts w:ascii="Berthold Akzidenz Grotesk BE" w:hAnsi="Berthold Akzidenz Grotesk BE"/>
        <w:sz w:val="44"/>
        <w:szCs w:val="44"/>
      </w:rPr>
      <w:t xml:space="preserve"> </w:t>
    </w:r>
    <w:r w:rsidR="00F7593D">
      <w:rPr>
        <w:rFonts w:ascii="Berthold Akzidenz Grotesk BE" w:hAnsi="Berthold Akzidenz Grotesk BE"/>
        <w:sz w:val="44"/>
        <w:szCs w:val="44"/>
      </w:rPr>
      <w:tab/>
      <w:t xml:space="preserve">      </w:t>
    </w:r>
    <w:r w:rsidR="00F768BE" w:rsidRPr="00517BED">
      <w:rPr>
        <w:rFonts w:ascii="Berthold Akzidenz Grotesk BE" w:hAnsi="Berthold Akzidenz Grotesk BE"/>
        <w:sz w:val="44"/>
        <w:szCs w:val="44"/>
      </w:rPr>
      <w:t>Antibiotic</w:t>
    </w:r>
    <w:r w:rsidR="00033973" w:rsidRPr="00517BED">
      <w:rPr>
        <w:rFonts w:ascii="Berthold Akzidenz Grotesk BE" w:hAnsi="Berthold Akzidenz Grotesk BE"/>
        <w:sz w:val="44"/>
        <w:szCs w:val="44"/>
      </w:rPr>
      <w:t xml:space="preserve"> </w:t>
    </w:r>
    <w:r w:rsidR="00F768BE" w:rsidRPr="00517BED">
      <w:rPr>
        <w:rFonts w:ascii="Berthold Akzidenz Grotesk BE" w:hAnsi="Berthold Akzidenz Grotesk BE"/>
        <w:sz w:val="44"/>
        <w:szCs w:val="44"/>
      </w:rPr>
      <w:t>Counselling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21D"/>
    <w:multiLevelType w:val="hybridMultilevel"/>
    <w:tmpl w:val="A09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7354"/>
    <w:multiLevelType w:val="hybridMultilevel"/>
    <w:tmpl w:val="4AB0C1CC"/>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 w15:restartNumberingAfterBreak="0">
    <w:nsid w:val="2C2E2D16"/>
    <w:multiLevelType w:val="hybridMultilevel"/>
    <w:tmpl w:val="D5C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914F0"/>
    <w:multiLevelType w:val="hybridMultilevel"/>
    <w:tmpl w:val="D91E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93436"/>
    <w:multiLevelType w:val="hybridMultilevel"/>
    <w:tmpl w:val="8BA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B0582"/>
    <w:multiLevelType w:val="hybridMultilevel"/>
    <w:tmpl w:val="E1A4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A08DA"/>
    <w:multiLevelType w:val="hybridMultilevel"/>
    <w:tmpl w:val="0B70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06AFE"/>
    <w:multiLevelType w:val="hybridMultilevel"/>
    <w:tmpl w:val="316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92E02"/>
    <w:multiLevelType w:val="hybridMultilevel"/>
    <w:tmpl w:val="60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85C11"/>
    <w:multiLevelType w:val="hybridMultilevel"/>
    <w:tmpl w:val="7E1E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F19F7"/>
    <w:multiLevelType w:val="hybridMultilevel"/>
    <w:tmpl w:val="A3CEA3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C60E6"/>
    <w:multiLevelType w:val="hybridMultilevel"/>
    <w:tmpl w:val="E0584D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26D70"/>
    <w:multiLevelType w:val="hybridMultilevel"/>
    <w:tmpl w:val="443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226A1"/>
    <w:multiLevelType w:val="hybridMultilevel"/>
    <w:tmpl w:val="412A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C13D6"/>
    <w:multiLevelType w:val="hybridMultilevel"/>
    <w:tmpl w:val="5F60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6498C"/>
    <w:multiLevelType w:val="hybridMultilevel"/>
    <w:tmpl w:val="D4CC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44529"/>
    <w:multiLevelType w:val="hybridMultilevel"/>
    <w:tmpl w:val="E7EC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430928">
    <w:abstractNumId w:val="1"/>
  </w:num>
  <w:num w:numId="2" w16cid:durableId="834420155">
    <w:abstractNumId w:val="5"/>
  </w:num>
  <w:num w:numId="3" w16cid:durableId="2104255016">
    <w:abstractNumId w:val="11"/>
  </w:num>
  <w:num w:numId="4" w16cid:durableId="46954203">
    <w:abstractNumId w:val="10"/>
  </w:num>
  <w:num w:numId="5" w16cid:durableId="621348475">
    <w:abstractNumId w:val="16"/>
  </w:num>
  <w:num w:numId="6" w16cid:durableId="976882473">
    <w:abstractNumId w:val="3"/>
  </w:num>
  <w:num w:numId="7" w16cid:durableId="1085373887">
    <w:abstractNumId w:val="12"/>
  </w:num>
  <w:num w:numId="8" w16cid:durableId="1226332894">
    <w:abstractNumId w:val="13"/>
  </w:num>
  <w:num w:numId="9" w16cid:durableId="346298338">
    <w:abstractNumId w:val="15"/>
  </w:num>
  <w:num w:numId="10" w16cid:durableId="117066943">
    <w:abstractNumId w:val="14"/>
  </w:num>
  <w:num w:numId="11" w16cid:durableId="1975986021">
    <w:abstractNumId w:val="6"/>
  </w:num>
  <w:num w:numId="12" w16cid:durableId="1470394620">
    <w:abstractNumId w:val="8"/>
  </w:num>
  <w:num w:numId="13" w16cid:durableId="1300063947">
    <w:abstractNumId w:val="7"/>
  </w:num>
  <w:num w:numId="14" w16cid:durableId="1606182953">
    <w:abstractNumId w:val="4"/>
  </w:num>
  <w:num w:numId="15" w16cid:durableId="1119640225">
    <w:abstractNumId w:val="0"/>
  </w:num>
  <w:num w:numId="16" w16cid:durableId="62683700">
    <w:abstractNumId w:val="9"/>
  </w:num>
  <w:num w:numId="17" w16cid:durableId="90033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8"/>
    <w:rsid w:val="0000323B"/>
    <w:rsid w:val="000207A3"/>
    <w:rsid w:val="00026DB6"/>
    <w:rsid w:val="00033973"/>
    <w:rsid w:val="000407FD"/>
    <w:rsid w:val="00053C6E"/>
    <w:rsid w:val="00074EAA"/>
    <w:rsid w:val="000C25D7"/>
    <w:rsid w:val="000E0AFC"/>
    <w:rsid w:val="00103390"/>
    <w:rsid w:val="00172790"/>
    <w:rsid w:val="001C0CBC"/>
    <w:rsid w:val="001E21B6"/>
    <w:rsid w:val="00201EF5"/>
    <w:rsid w:val="00251D23"/>
    <w:rsid w:val="00286CF9"/>
    <w:rsid w:val="00293DAD"/>
    <w:rsid w:val="002F22B1"/>
    <w:rsid w:val="00304AA3"/>
    <w:rsid w:val="0031675D"/>
    <w:rsid w:val="00356067"/>
    <w:rsid w:val="00377BB4"/>
    <w:rsid w:val="003C4CDE"/>
    <w:rsid w:val="003D4493"/>
    <w:rsid w:val="003E297D"/>
    <w:rsid w:val="004443BF"/>
    <w:rsid w:val="00485FF1"/>
    <w:rsid w:val="00494500"/>
    <w:rsid w:val="004D3E47"/>
    <w:rsid w:val="004D6A08"/>
    <w:rsid w:val="004F6F26"/>
    <w:rsid w:val="00503E7E"/>
    <w:rsid w:val="00517BED"/>
    <w:rsid w:val="00542D07"/>
    <w:rsid w:val="005820F5"/>
    <w:rsid w:val="005A0C27"/>
    <w:rsid w:val="005C033A"/>
    <w:rsid w:val="006B3230"/>
    <w:rsid w:val="006E303A"/>
    <w:rsid w:val="0070626F"/>
    <w:rsid w:val="007268EB"/>
    <w:rsid w:val="00735ABC"/>
    <w:rsid w:val="0078710A"/>
    <w:rsid w:val="00794B3D"/>
    <w:rsid w:val="007A4F5E"/>
    <w:rsid w:val="007B3A5F"/>
    <w:rsid w:val="00810008"/>
    <w:rsid w:val="0084724B"/>
    <w:rsid w:val="00855AC5"/>
    <w:rsid w:val="008636CE"/>
    <w:rsid w:val="008D468C"/>
    <w:rsid w:val="008D6092"/>
    <w:rsid w:val="00997EAE"/>
    <w:rsid w:val="009A5887"/>
    <w:rsid w:val="009B1666"/>
    <w:rsid w:val="009D58CC"/>
    <w:rsid w:val="009E5F58"/>
    <w:rsid w:val="00A24CDA"/>
    <w:rsid w:val="00A42CB5"/>
    <w:rsid w:val="00A62DC3"/>
    <w:rsid w:val="00AA0F90"/>
    <w:rsid w:val="00AA298E"/>
    <w:rsid w:val="00AE1FBC"/>
    <w:rsid w:val="00AE3C21"/>
    <w:rsid w:val="00B56E6B"/>
    <w:rsid w:val="00BA70EA"/>
    <w:rsid w:val="00BB2448"/>
    <w:rsid w:val="00BF6221"/>
    <w:rsid w:val="00BF653D"/>
    <w:rsid w:val="00C113DE"/>
    <w:rsid w:val="00C24B57"/>
    <w:rsid w:val="00C412C6"/>
    <w:rsid w:val="00C77620"/>
    <w:rsid w:val="00C94898"/>
    <w:rsid w:val="00CA792E"/>
    <w:rsid w:val="00CD4D5F"/>
    <w:rsid w:val="00D272AF"/>
    <w:rsid w:val="00D35146"/>
    <w:rsid w:val="00D7732D"/>
    <w:rsid w:val="00DE2ACF"/>
    <w:rsid w:val="00DE3B25"/>
    <w:rsid w:val="00E33402"/>
    <w:rsid w:val="00EC0EC9"/>
    <w:rsid w:val="00EE7380"/>
    <w:rsid w:val="00F000E2"/>
    <w:rsid w:val="00F51769"/>
    <w:rsid w:val="00F563BA"/>
    <w:rsid w:val="00F57515"/>
    <w:rsid w:val="00F712A1"/>
    <w:rsid w:val="00F7593D"/>
    <w:rsid w:val="00F768BE"/>
    <w:rsid w:val="00F81330"/>
    <w:rsid w:val="00F9070E"/>
    <w:rsid w:val="00FC1654"/>
    <w:rsid w:val="00FE58AA"/>
    <w:rsid w:val="00F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FCAF34A"/>
  <w15:chartTrackingRefBased/>
  <w15:docId w15:val="{12E00B96-06D8-4410-8BA9-6D1F3CC0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58"/>
  </w:style>
  <w:style w:type="paragraph" w:styleId="Heading1">
    <w:name w:val="heading 1"/>
    <w:basedOn w:val="Normal"/>
    <w:next w:val="Normal"/>
    <w:link w:val="Heading1Char"/>
    <w:uiPriority w:val="9"/>
    <w:qFormat/>
    <w:rsid w:val="009E5F5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5F5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E5F5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5F5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5F5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5F5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5F5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5F5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5F5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5F5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5F5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E5F5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5F5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5F5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5F5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5F58"/>
    <w:rPr>
      <w:i/>
      <w:iCs/>
    </w:rPr>
  </w:style>
  <w:style w:type="character" w:customStyle="1" w:styleId="Heading8Char">
    <w:name w:val="Heading 8 Char"/>
    <w:basedOn w:val="DefaultParagraphFont"/>
    <w:link w:val="Heading8"/>
    <w:uiPriority w:val="9"/>
    <w:semiHidden/>
    <w:rsid w:val="009E5F58"/>
    <w:rPr>
      <w:b/>
      <w:bCs/>
    </w:rPr>
  </w:style>
  <w:style w:type="character" w:customStyle="1" w:styleId="Heading9Char">
    <w:name w:val="Heading 9 Char"/>
    <w:basedOn w:val="DefaultParagraphFont"/>
    <w:link w:val="Heading9"/>
    <w:uiPriority w:val="9"/>
    <w:semiHidden/>
    <w:rsid w:val="009E5F58"/>
    <w:rPr>
      <w:i/>
      <w:iCs/>
    </w:rPr>
  </w:style>
  <w:style w:type="paragraph" w:styleId="Caption">
    <w:name w:val="caption"/>
    <w:basedOn w:val="Normal"/>
    <w:next w:val="Normal"/>
    <w:uiPriority w:val="35"/>
    <w:semiHidden/>
    <w:unhideWhenUsed/>
    <w:qFormat/>
    <w:rsid w:val="009E5F58"/>
    <w:rPr>
      <w:b/>
      <w:bCs/>
      <w:sz w:val="18"/>
      <w:szCs w:val="18"/>
    </w:rPr>
  </w:style>
  <w:style w:type="paragraph" w:styleId="Title">
    <w:name w:val="Title"/>
    <w:basedOn w:val="Normal"/>
    <w:next w:val="Normal"/>
    <w:link w:val="TitleChar"/>
    <w:uiPriority w:val="10"/>
    <w:qFormat/>
    <w:rsid w:val="009E5F5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5F5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5F5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5F58"/>
    <w:rPr>
      <w:rFonts w:asciiTheme="majorHAnsi" w:eastAsiaTheme="majorEastAsia" w:hAnsiTheme="majorHAnsi" w:cstheme="majorBidi"/>
      <w:sz w:val="24"/>
      <w:szCs w:val="24"/>
    </w:rPr>
  </w:style>
  <w:style w:type="character" w:styleId="Strong">
    <w:name w:val="Strong"/>
    <w:basedOn w:val="DefaultParagraphFont"/>
    <w:uiPriority w:val="22"/>
    <w:qFormat/>
    <w:rsid w:val="009E5F58"/>
    <w:rPr>
      <w:b/>
      <w:bCs/>
      <w:color w:val="auto"/>
    </w:rPr>
  </w:style>
  <w:style w:type="character" w:styleId="Emphasis">
    <w:name w:val="Emphasis"/>
    <w:basedOn w:val="DefaultParagraphFont"/>
    <w:uiPriority w:val="20"/>
    <w:qFormat/>
    <w:rsid w:val="009E5F58"/>
    <w:rPr>
      <w:i/>
      <w:iCs/>
      <w:color w:val="auto"/>
    </w:rPr>
  </w:style>
  <w:style w:type="paragraph" w:styleId="NoSpacing">
    <w:name w:val="No Spacing"/>
    <w:uiPriority w:val="1"/>
    <w:qFormat/>
    <w:rsid w:val="009E5F58"/>
    <w:pPr>
      <w:spacing w:after="0" w:line="240" w:lineRule="auto"/>
    </w:pPr>
  </w:style>
  <w:style w:type="paragraph" w:styleId="Quote">
    <w:name w:val="Quote"/>
    <w:basedOn w:val="Normal"/>
    <w:next w:val="Normal"/>
    <w:link w:val="QuoteChar"/>
    <w:uiPriority w:val="29"/>
    <w:qFormat/>
    <w:rsid w:val="009E5F5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5F5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5F5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5F5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5F58"/>
    <w:rPr>
      <w:i/>
      <w:iCs/>
      <w:color w:val="auto"/>
    </w:rPr>
  </w:style>
  <w:style w:type="character" w:styleId="IntenseEmphasis">
    <w:name w:val="Intense Emphasis"/>
    <w:basedOn w:val="DefaultParagraphFont"/>
    <w:uiPriority w:val="21"/>
    <w:qFormat/>
    <w:rsid w:val="009E5F58"/>
    <w:rPr>
      <w:b/>
      <w:bCs/>
      <w:i/>
      <w:iCs/>
      <w:color w:val="auto"/>
    </w:rPr>
  </w:style>
  <w:style w:type="character" w:styleId="SubtleReference">
    <w:name w:val="Subtle Reference"/>
    <w:basedOn w:val="DefaultParagraphFont"/>
    <w:uiPriority w:val="31"/>
    <w:qFormat/>
    <w:rsid w:val="009E5F58"/>
    <w:rPr>
      <w:smallCaps/>
      <w:color w:val="auto"/>
      <w:u w:val="single" w:color="7F7F7F" w:themeColor="text1" w:themeTint="80"/>
    </w:rPr>
  </w:style>
  <w:style w:type="character" w:styleId="IntenseReference">
    <w:name w:val="Intense Reference"/>
    <w:basedOn w:val="DefaultParagraphFont"/>
    <w:uiPriority w:val="32"/>
    <w:qFormat/>
    <w:rsid w:val="009E5F58"/>
    <w:rPr>
      <w:b/>
      <w:bCs/>
      <w:smallCaps/>
      <w:color w:val="auto"/>
      <w:u w:val="single"/>
    </w:rPr>
  </w:style>
  <w:style w:type="character" w:styleId="BookTitle">
    <w:name w:val="Book Title"/>
    <w:basedOn w:val="DefaultParagraphFont"/>
    <w:uiPriority w:val="33"/>
    <w:qFormat/>
    <w:rsid w:val="009E5F58"/>
    <w:rPr>
      <w:b/>
      <w:bCs/>
      <w:smallCaps/>
      <w:color w:val="auto"/>
    </w:rPr>
  </w:style>
  <w:style w:type="paragraph" w:styleId="TOCHeading">
    <w:name w:val="TOC Heading"/>
    <w:basedOn w:val="Heading1"/>
    <w:next w:val="Normal"/>
    <w:uiPriority w:val="39"/>
    <w:semiHidden/>
    <w:unhideWhenUsed/>
    <w:qFormat/>
    <w:rsid w:val="009E5F58"/>
    <w:pPr>
      <w:outlineLvl w:val="9"/>
    </w:pPr>
  </w:style>
  <w:style w:type="table" w:styleId="GridTable5Dark-Accent2">
    <w:name w:val="Grid Table 5 Dark Accent 2"/>
    <w:basedOn w:val="TableNormal"/>
    <w:uiPriority w:val="50"/>
    <w:rsid w:val="009E5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7Colorful-Accent2">
    <w:name w:val="List Table 7 Colorful Accent 2"/>
    <w:basedOn w:val="TableNormal"/>
    <w:uiPriority w:val="52"/>
    <w:rsid w:val="009E5F58"/>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9E5F5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2">
    <w:name w:val="Grid Table 7 Colorful Accent 2"/>
    <w:basedOn w:val="TableNormal"/>
    <w:uiPriority w:val="52"/>
    <w:rsid w:val="009E5F5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9E5F5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9E5F5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2-Accent2">
    <w:name w:val="Grid Table 2 Accent 2"/>
    <w:basedOn w:val="TableNormal"/>
    <w:uiPriority w:val="47"/>
    <w:rsid w:val="009E5F5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F000E2"/>
    <w:pPr>
      <w:ind w:left="720"/>
      <w:contextualSpacing/>
    </w:pPr>
  </w:style>
  <w:style w:type="paragraph" w:styleId="Header">
    <w:name w:val="header"/>
    <w:basedOn w:val="Normal"/>
    <w:link w:val="HeaderChar"/>
    <w:uiPriority w:val="99"/>
    <w:unhideWhenUsed/>
    <w:rsid w:val="00F7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8BE"/>
  </w:style>
  <w:style w:type="paragraph" w:styleId="Footer">
    <w:name w:val="footer"/>
    <w:basedOn w:val="Normal"/>
    <w:link w:val="FooterChar"/>
    <w:uiPriority w:val="99"/>
    <w:unhideWhenUsed/>
    <w:rsid w:val="00F7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8BE"/>
  </w:style>
  <w:style w:type="character" w:styleId="Hyperlink">
    <w:name w:val="Hyperlink"/>
    <w:basedOn w:val="DefaultParagraphFont"/>
    <w:uiPriority w:val="99"/>
    <w:unhideWhenUsed/>
    <w:rsid w:val="009D58CC"/>
    <w:rPr>
      <w:color w:val="0000FF"/>
      <w:u w:val="single"/>
    </w:rPr>
  </w:style>
  <w:style w:type="character" w:styleId="CommentReference">
    <w:name w:val="annotation reference"/>
    <w:basedOn w:val="DefaultParagraphFont"/>
    <w:uiPriority w:val="99"/>
    <w:semiHidden/>
    <w:unhideWhenUsed/>
    <w:rsid w:val="000407FD"/>
    <w:rPr>
      <w:sz w:val="16"/>
      <w:szCs w:val="16"/>
    </w:rPr>
  </w:style>
  <w:style w:type="paragraph" w:styleId="CommentText">
    <w:name w:val="annotation text"/>
    <w:basedOn w:val="Normal"/>
    <w:link w:val="CommentTextChar"/>
    <w:uiPriority w:val="99"/>
    <w:semiHidden/>
    <w:unhideWhenUsed/>
    <w:rsid w:val="000407FD"/>
    <w:pPr>
      <w:spacing w:line="240" w:lineRule="auto"/>
    </w:pPr>
    <w:rPr>
      <w:sz w:val="20"/>
      <w:szCs w:val="20"/>
    </w:rPr>
  </w:style>
  <w:style w:type="character" w:customStyle="1" w:styleId="CommentTextChar">
    <w:name w:val="Comment Text Char"/>
    <w:basedOn w:val="DefaultParagraphFont"/>
    <w:link w:val="CommentText"/>
    <w:uiPriority w:val="99"/>
    <w:semiHidden/>
    <w:rsid w:val="000407FD"/>
    <w:rPr>
      <w:sz w:val="20"/>
      <w:szCs w:val="20"/>
    </w:rPr>
  </w:style>
  <w:style w:type="paragraph" w:styleId="CommentSubject">
    <w:name w:val="annotation subject"/>
    <w:basedOn w:val="CommentText"/>
    <w:next w:val="CommentText"/>
    <w:link w:val="CommentSubjectChar"/>
    <w:uiPriority w:val="99"/>
    <w:semiHidden/>
    <w:unhideWhenUsed/>
    <w:rsid w:val="000407FD"/>
    <w:rPr>
      <w:b/>
      <w:bCs/>
    </w:rPr>
  </w:style>
  <w:style w:type="character" w:customStyle="1" w:styleId="CommentSubjectChar">
    <w:name w:val="Comment Subject Char"/>
    <w:basedOn w:val="CommentTextChar"/>
    <w:link w:val="CommentSubject"/>
    <w:uiPriority w:val="99"/>
    <w:semiHidden/>
    <w:rsid w:val="000407FD"/>
    <w:rPr>
      <w:b/>
      <w:bCs/>
      <w:sz w:val="20"/>
      <w:szCs w:val="20"/>
    </w:rPr>
  </w:style>
  <w:style w:type="paragraph" w:styleId="BalloonText">
    <w:name w:val="Balloon Text"/>
    <w:basedOn w:val="Normal"/>
    <w:link w:val="BalloonTextChar"/>
    <w:uiPriority w:val="99"/>
    <w:semiHidden/>
    <w:unhideWhenUsed/>
    <w:rsid w:val="0004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6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3501">
      <w:bodyDiv w:val="1"/>
      <w:marLeft w:val="0"/>
      <w:marRight w:val="0"/>
      <w:marTop w:val="0"/>
      <w:marBottom w:val="0"/>
      <w:divBdr>
        <w:top w:val="none" w:sz="0" w:space="0" w:color="auto"/>
        <w:left w:val="none" w:sz="0" w:space="0" w:color="auto"/>
        <w:bottom w:val="none" w:sz="0" w:space="0" w:color="auto"/>
        <w:right w:val="none" w:sz="0" w:space="0" w:color="auto"/>
      </w:divBdr>
    </w:div>
    <w:div w:id="916790381">
      <w:bodyDiv w:val="1"/>
      <w:marLeft w:val="0"/>
      <w:marRight w:val="0"/>
      <w:marTop w:val="0"/>
      <w:marBottom w:val="0"/>
      <w:divBdr>
        <w:top w:val="none" w:sz="0" w:space="0" w:color="auto"/>
        <w:left w:val="none" w:sz="0" w:space="0" w:color="auto"/>
        <w:bottom w:val="none" w:sz="0" w:space="0" w:color="auto"/>
        <w:right w:val="none" w:sz="0" w:space="0" w:color="auto"/>
      </w:divBdr>
    </w:div>
    <w:div w:id="1006640295">
      <w:bodyDiv w:val="1"/>
      <w:marLeft w:val="0"/>
      <w:marRight w:val="0"/>
      <w:marTop w:val="0"/>
      <w:marBottom w:val="0"/>
      <w:divBdr>
        <w:top w:val="none" w:sz="0" w:space="0" w:color="auto"/>
        <w:left w:val="none" w:sz="0" w:space="0" w:color="auto"/>
        <w:bottom w:val="none" w:sz="0" w:space="0" w:color="auto"/>
        <w:right w:val="none" w:sz="0" w:space="0" w:color="auto"/>
      </w:divBdr>
    </w:div>
    <w:div w:id="1273055451">
      <w:bodyDiv w:val="1"/>
      <w:marLeft w:val="0"/>
      <w:marRight w:val="0"/>
      <w:marTop w:val="0"/>
      <w:marBottom w:val="0"/>
      <w:divBdr>
        <w:top w:val="none" w:sz="0" w:space="0" w:color="auto"/>
        <w:left w:val="none" w:sz="0" w:space="0" w:color="auto"/>
        <w:bottom w:val="none" w:sz="0" w:space="0" w:color="auto"/>
        <w:right w:val="none" w:sz="0" w:space="0" w:color="auto"/>
      </w:divBdr>
    </w:div>
    <w:div w:id="1889225757">
      <w:bodyDiv w:val="1"/>
      <w:marLeft w:val="0"/>
      <w:marRight w:val="0"/>
      <w:marTop w:val="0"/>
      <w:marBottom w:val="0"/>
      <w:divBdr>
        <w:top w:val="none" w:sz="0" w:space="0" w:color="auto"/>
        <w:left w:val="none" w:sz="0" w:space="0" w:color="auto"/>
        <w:bottom w:val="none" w:sz="0" w:space="0" w:color="auto"/>
        <w:right w:val="none" w:sz="0" w:space="0" w:color="auto"/>
      </w:divBdr>
      <w:divsChild>
        <w:div w:id="180651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TARGET-patient-lealets" TargetMode="External"/><Relationship Id="rId18" Type="http://schemas.openxmlformats.org/officeDocument/2006/relationships/hyperlink" Target="https://www.medicinesinpregnancy.org/" TargetMode="External"/><Relationship Id="rId26" Type="http://schemas.openxmlformats.org/officeDocument/2006/relationships/hyperlink" Target="http://www.medicinesforchildren.org.uk" TargetMode="External"/><Relationship Id="rId3" Type="http://schemas.openxmlformats.org/officeDocument/2006/relationships/customXml" Target="../customXml/item3.xml"/><Relationship Id="rId21" Type="http://schemas.openxmlformats.org/officeDocument/2006/relationships/hyperlink" Target="http://www.medicinescomplete.com" TargetMode="External"/><Relationship Id="rId7" Type="http://schemas.openxmlformats.org/officeDocument/2006/relationships/settings" Target="settings.xml"/><Relationship Id="rId12" Type="http://schemas.openxmlformats.org/officeDocument/2006/relationships/hyperlink" Target="https://www.nice.org.uk/guidance/ng197" TargetMode="External"/><Relationship Id="rId17" Type="http://schemas.openxmlformats.org/officeDocument/2006/relationships/hyperlink" Target="https://www.medicines.org.uk/emc/" TargetMode="External"/><Relationship Id="rId25" Type="http://schemas.openxmlformats.org/officeDocument/2006/relationships/hyperlink" Target="https://www.nhs.uk/common-health-questions/medicines/can-i-drink-alcohol-while-taking-antibiotics/"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yperlink" Target="http://www.medicinescomple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rug-safety-update/fluoroquinolone-antibiotics-must-now-only-be-prescribed-when-other-commonly-recommended-antibiotics-are-inappropriate" TargetMode="External"/><Relationship Id="rId24" Type="http://schemas.openxmlformats.org/officeDocument/2006/relationships/hyperlink" Target="http://www.medicinescomplete.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ice.org.uk/guidance/ng19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dicinesforchildre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edicines.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52E948FA37F943B0514D0A14AFC95A" ma:contentTypeVersion="13" ma:contentTypeDescription="Create a new document." ma:contentTypeScope="" ma:versionID="e517a544fb2e2e56df9f4d7680b9a13d">
  <xsd:schema xmlns:xsd="http://www.w3.org/2001/XMLSchema" xmlns:xs="http://www.w3.org/2001/XMLSchema" xmlns:p="http://schemas.microsoft.com/office/2006/metadata/properties" xmlns:ns3="258d5018-feb4-45ec-8043-ac7152467c64" xmlns:ns4="2795bbee-07b4-4e79-98d8-0419d9871cad" targetNamespace="http://schemas.microsoft.com/office/2006/metadata/properties" ma:root="true" ma:fieldsID="d393eed8aa77b96e0f8a31961ecec418" ns3:_="" ns4:_="">
    <xsd:import namespace="258d5018-feb4-45ec-8043-ac7152467c64"/>
    <xsd:import namespace="2795bbee-07b4-4e79-98d8-0419d9871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d5018-feb4-45ec-8043-ac7152467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5bbee-07b4-4e79-98d8-0419d9871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3FE20-A1E9-4759-972D-6F03D718DB0B}">
  <ds:schemaRefs>
    <ds:schemaRef ds:uri="http://schemas.openxmlformats.org/officeDocument/2006/bibliography"/>
  </ds:schemaRefs>
</ds:datastoreItem>
</file>

<file path=customXml/itemProps2.xml><?xml version="1.0" encoding="utf-8"?>
<ds:datastoreItem xmlns:ds="http://schemas.openxmlformats.org/officeDocument/2006/customXml" ds:itemID="{59817A6E-0E66-4A7C-8D10-27F62C0A05AE}">
  <ds:schemaRefs>
    <ds:schemaRef ds:uri="http://schemas.microsoft.com/sharepoint/v3/contenttype/forms"/>
  </ds:schemaRefs>
</ds:datastoreItem>
</file>

<file path=customXml/itemProps3.xml><?xml version="1.0" encoding="utf-8"?>
<ds:datastoreItem xmlns:ds="http://schemas.openxmlformats.org/officeDocument/2006/customXml" ds:itemID="{0EA3DAE4-6AD6-4261-B47A-E7D2BE135913}">
  <ds:schemaRefs>
    <ds:schemaRef ds:uri="http://purl.org/dc/terms/"/>
    <ds:schemaRef ds:uri="258d5018-feb4-45ec-8043-ac7152467c64"/>
    <ds:schemaRef ds:uri="http://purl.org/dc/dcmitype/"/>
    <ds:schemaRef ds:uri="2795bbee-07b4-4e79-98d8-0419d9871ca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4E88EB7-1CF4-43E1-A614-1696B0CB2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d5018-feb4-45ec-8043-ac7152467c64"/>
    <ds:schemaRef ds:uri="2795bbee-07b4-4e79-98d8-0419d987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Hywel Dda University Health Board</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Kennerley (Hywel Dda UHB - Antimicrobial Pharmacist )</dc:creator>
  <cp:keywords/>
  <dc:description/>
  <cp:lastModifiedBy>Liam Clayton</cp:lastModifiedBy>
  <cp:revision>2</cp:revision>
  <dcterms:created xsi:type="dcterms:W3CDTF">2024-02-19T11:47:00Z</dcterms:created>
  <dcterms:modified xsi:type="dcterms:W3CDTF">2024-02-19T11:47:00Z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0x0101006652E948FA37F943B0514D0A14AFC95A</vt:lpwstr>
  </property>
</Properties>
</file>